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ascii="华文中宋" w:hAnsi="华文中宋" w:eastAsia="华文中宋" w:cs="宋体"/>
          <w:b/>
          <w:kern w:val="0"/>
          <w:sz w:val="52"/>
          <w:szCs w:val="52"/>
        </w:rPr>
      </w:pPr>
    </w:p>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ascii="华文中宋" w:hAnsi="华文中宋" w:eastAsia="华文中宋" w:cs="宋体"/>
          <w:b/>
          <w:kern w:val="0"/>
          <w:sz w:val="52"/>
          <w:szCs w:val="52"/>
        </w:rPr>
      </w:pPr>
    </w:p>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ascii="华文中宋" w:hAnsi="华文中宋" w:eastAsia="华文中宋" w:cs="宋体"/>
          <w:b/>
          <w:kern w:val="0"/>
          <w:sz w:val="52"/>
          <w:szCs w:val="52"/>
        </w:rPr>
      </w:pPr>
    </w:p>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ascii="华文中宋" w:hAnsi="华文中宋" w:eastAsia="华文中宋" w:cs="宋体"/>
          <w:b/>
          <w:kern w:val="0"/>
          <w:sz w:val="52"/>
          <w:szCs w:val="52"/>
        </w:rPr>
      </w:pPr>
    </w:p>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ascii="华文中宋" w:hAnsi="华文中宋" w:eastAsia="华文中宋" w:cs="宋体"/>
          <w:b/>
          <w:kern w:val="0"/>
          <w:sz w:val="52"/>
          <w:szCs w:val="52"/>
        </w:rPr>
      </w:pPr>
    </w:p>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ascii="华文中宋" w:hAnsi="华文中宋" w:eastAsia="华文中宋" w:cs="宋体"/>
          <w:b/>
          <w:kern w:val="0"/>
          <w:sz w:val="52"/>
          <w:szCs w:val="52"/>
        </w:rPr>
      </w:pPr>
    </w:p>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ascii="方正小标宋_GBK" w:hAnsi="华文中宋" w:eastAsia="方正小标宋_GBK" w:cs="宋体"/>
          <w:b w:val="0"/>
          <w:bCs/>
          <w:kern w:val="0"/>
          <w:sz w:val="48"/>
          <w:szCs w:val="48"/>
        </w:rPr>
      </w:pPr>
      <w:r>
        <w:rPr>
          <w:rFonts w:hint="eastAsia" w:ascii="方正小标宋_GBK" w:hAnsi="华文中宋" w:eastAsia="方正小标宋_GBK" w:cs="宋体"/>
          <w:b w:val="0"/>
          <w:bCs/>
          <w:kern w:val="0"/>
          <w:sz w:val="48"/>
          <w:szCs w:val="48"/>
        </w:rPr>
        <w:t>自治区财政项目支出绩效自评报告</w:t>
      </w:r>
    </w:p>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ascii="华文中宋" w:hAnsi="华文中宋" w:eastAsia="华文中宋" w:cs="宋体"/>
          <w:b/>
          <w:kern w:val="0"/>
          <w:sz w:val="52"/>
          <w:szCs w:val="52"/>
        </w:rPr>
      </w:pPr>
    </w:p>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Ansi="宋体" w:eastAsia="仿宋_GB2312" w:cs="宋体"/>
          <w:kern w:val="0"/>
          <w:sz w:val="36"/>
          <w:szCs w:val="36"/>
        </w:rPr>
      </w:pPr>
      <w:r>
        <w:rPr>
          <w:rFonts w:hint="eastAsia" w:hAnsi="宋体" w:eastAsia="仿宋_GB2312" w:cs="宋体"/>
          <w:kern w:val="0"/>
          <w:sz w:val="36"/>
          <w:szCs w:val="36"/>
        </w:rPr>
        <w:t xml:space="preserve">（   </w:t>
      </w:r>
      <w:r>
        <w:rPr>
          <w:rStyle w:val="21"/>
          <w:rFonts w:hint="eastAsia" w:ascii="楷体" w:hAnsi="楷体" w:eastAsia="楷体"/>
          <w:spacing w:val="-4"/>
          <w:sz w:val="32"/>
          <w:szCs w:val="32"/>
        </w:rPr>
        <w:t>20</w:t>
      </w:r>
      <w:r>
        <w:rPr>
          <w:rStyle w:val="21"/>
          <w:rFonts w:hint="eastAsia" w:ascii="楷体" w:hAnsi="楷体" w:eastAsia="楷体"/>
          <w:spacing w:val="-4"/>
          <w:sz w:val="32"/>
          <w:szCs w:val="32"/>
          <w:lang w:val="en-US" w:eastAsia="zh-CN"/>
        </w:rPr>
        <w:t>25</w:t>
      </w:r>
      <w:r>
        <w:rPr>
          <w:rFonts w:hint="eastAsia" w:hAnsi="宋体" w:eastAsia="仿宋_GB2312" w:cs="宋体"/>
          <w:kern w:val="0"/>
          <w:sz w:val="36"/>
          <w:szCs w:val="36"/>
        </w:rPr>
        <w:t xml:space="preserve">  年度）</w:t>
      </w:r>
    </w:p>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Ansi="宋体" w:eastAsia="仿宋_GB2312" w:cs="宋体"/>
          <w:kern w:val="0"/>
          <w:sz w:val="30"/>
          <w:szCs w:val="30"/>
        </w:rPr>
      </w:pPr>
    </w:p>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Ansi="宋体" w:eastAsia="仿宋_GB2312" w:cs="宋体"/>
          <w:kern w:val="0"/>
          <w:sz w:val="30"/>
          <w:szCs w:val="30"/>
        </w:rPr>
      </w:pPr>
    </w:p>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Ansi="宋体" w:eastAsia="仿宋_GB2312" w:cs="宋体"/>
          <w:kern w:val="0"/>
          <w:sz w:val="30"/>
          <w:szCs w:val="30"/>
        </w:rPr>
      </w:pPr>
    </w:p>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Ansi="宋体" w:eastAsia="仿宋_GB2312" w:cs="宋体"/>
          <w:kern w:val="0"/>
          <w:sz w:val="30"/>
          <w:szCs w:val="30"/>
        </w:rPr>
      </w:pPr>
    </w:p>
    <w:p>
      <w:pPr>
        <w:keepNext w:val="0"/>
        <w:keepLines w:val="0"/>
        <w:pageBreakBefore w:val="0"/>
        <w:widowControl w:val="0"/>
        <w:kinsoku/>
        <w:wordWrap/>
        <w:overflowPunct/>
        <w:topLinePunct w:val="0"/>
        <w:autoSpaceDE/>
        <w:autoSpaceDN/>
        <w:bidi w:val="0"/>
        <w:adjustRightInd/>
        <w:snapToGrid/>
        <w:spacing w:line="600" w:lineRule="exact"/>
        <w:ind w:right="0" w:rightChars="0"/>
        <w:textAlignment w:val="auto"/>
        <w:outlineLvl w:val="9"/>
        <w:rPr>
          <w:rFonts w:hAnsi="宋体" w:eastAsia="仿宋_GB2312" w:cs="宋体"/>
          <w:kern w:val="0"/>
          <w:sz w:val="30"/>
          <w:szCs w:val="30"/>
        </w:rPr>
      </w:pPr>
    </w:p>
    <w:p>
      <w:pPr>
        <w:keepNext w:val="0"/>
        <w:keepLines w:val="0"/>
        <w:pageBreakBefore w:val="0"/>
        <w:widowControl w:val="0"/>
        <w:kinsoku/>
        <w:wordWrap/>
        <w:overflowPunct/>
        <w:topLinePunct w:val="0"/>
        <w:autoSpaceDE/>
        <w:autoSpaceDN/>
        <w:bidi w:val="0"/>
        <w:adjustRightInd/>
        <w:snapToGrid/>
        <w:spacing w:line="600" w:lineRule="exact"/>
        <w:ind w:right="0" w:rightChars="0"/>
        <w:jc w:val="left"/>
        <w:textAlignment w:val="auto"/>
        <w:outlineLvl w:val="9"/>
        <w:rPr>
          <w:rFonts w:hAnsi="宋体" w:eastAsia="仿宋_GB2312" w:cs="宋体"/>
          <w:kern w:val="0"/>
          <w:sz w:val="36"/>
          <w:szCs w:val="36"/>
        </w:rPr>
      </w:pPr>
      <w:r>
        <w:rPr>
          <w:rFonts w:hint="eastAsia" w:hAnsi="宋体" w:eastAsia="仿宋_GB2312" w:cs="宋体"/>
          <w:kern w:val="0"/>
          <w:sz w:val="36"/>
          <w:szCs w:val="36"/>
        </w:rPr>
        <w:t xml:space="preserve">     </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900" w:firstLineChars="250"/>
        <w:jc w:val="left"/>
        <w:textAlignment w:val="auto"/>
        <w:outlineLvl w:val="9"/>
        <w:rPr>
          <w:rFonts w:hAnsi="宋体" w:eastAsia="仿宋_GB2312" w:cs="宋体"/>
          <w:b w:val="0"/>
          <w:bCs w:val="0"/>
          <w:kern w:val="0"/>
          <w:sz w:val="36"/>
          <w:szCs w:val="36"/>
        </w:rPr>
      </w:pPr>
      <w:r>
        <w:rPr>
          <w:rFonts w:hint="eastAsia" w:hAnsi="宋体" w:eastAsia="仿宋_GB2312" w:cs="宋体"/>
          <w:kern w:val="0"/>
          <w:sz w:val="36"/>
          <w:szCs w:val="36"/>
        </w:rPr>
        <w:t>项目名称：</w:t>
      </w:r>
      <w:r>
        <w:rPr>
          <w:rStyle w:val="21"/>
          <w:rFonts w:hint="eastAsia" w:ascii="楷体" w:hAnsi="楷体" w:eastAsia="楷体"/>
          <w:b w:val="0"/>
          <w:bCs w:val="0"/>
          <w:spacing w:val="-4"/>
          <w:sz w:val="32"/>
          <w:szCs w:val="32"/>
        </w:rPr>
        <w:t>国有企业监督管理综合经费</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567"/>
        <w:textAlignment w:val="auto"/>
        <w:outlineLvl w:val="9"/>
        <w:rPr>
          <w:rFonts w:ascii="楷体" w:hAnsi="楷体" w:eastAsia="楷体"/>
          <w:b w:val="0"/>
          <w:bCs w:val="0"/>
          <w:spacing w:val="-4"/>
          <w:sz w:val="32"/>
          <w:szCs w:val="32"/>
        </w:rPr>
      </w:pPr>
      <w:r>
        <w:rPr>
          <w:rFonts w:hint="eastAsia" w:hAnsi="宋体" w:eastAsia="仿宋_GB2312" w:cs="宋体"/>
          <w:b w:val="0"/>
          <w:bCs w:val="0"/>
          <w:kern w:val="0"/>
          <w:sz w:val="36"/>
          <w:szCs w:val="36"/>
        </w:rPr>
        <w:t xml:space="preserve">  实施单位（公章）：</w:t>
      </w:r>
      <w:r>
        <w:rPr>
          <w:rStyle w:val="21"/>
          <w:rFonts w:hint="eastAsia" w:ascii="楷体" w:hAnsi="楷体" w:eastAsia="楷体"/>
          <w:b w:val="0"/>
          <w:bCs w:val="0"/>
          <w:spacing w:val="-4"/>
          <w:sz w:val="28"/>
          <w:szCs w:val="28"/>
        </w:rPr>
        <w:t>新疆维吾尔自治区人民政府国有资产监督管理委员会</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900" w:firstLineChars="250"/>
        <w:textAlignment w:val="auto"/>
        <w:outlineLvl w:val="9"/>
        <w:rPr>
          <w:rFonts w:ascii="楷体" w:hAnsi="楷体" w:eastAsia="楷体"/>
          <w:b w:val="0"/>
          <w:bCs w:val="0"/>
          <w:spacing w:val="-4"/>
          <w:sz w:val="28"/>
          <w:szCs w:val="28"/>
        </w:rPr>
      </w:pPr>
      <w:r>
        <w:rPr>
          <w:rFonts w:hint="eastAsia" w:hAnsi="宋体" w:eastAsia="仿宋_GB2312" w:cs="宋体"/>
          <w:b w:val="0"/>
          <w:bCs w:val="0"/>
          <w:kern w:val="0"/>
          <w:sz w:val="36"/>
          <w:szCs w:val="36"/>
        </w:rPr>
        <w:t>主管部门（公章）：</w:t>
      </w:r>
      <w:r>
        <w:rPr>
          <w:rStyle w:val="21"/>
          <w:rFonts w:hint="eastAsia" w:ascii="楷体" w:hAnsi="楷体" w:eastAsia="楷体"/>
          <w:b w:val="0"/>
          <w:bCs w:val="0"/>
          <w:spacing w:val="-4"/>
          <w:sz w:val="28"/>
          <w:szCs w:val="28"/>
        </w:rPr>
        <w:t>新疆维吾尔自治区人民政府国有资产监督管理委员会</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900" w:firstLineChars="250"/>
        <w:textAlignment w:val="auto"/>
        <w:outlineLvl w:val="9"/>
        <w:rPr>
          <w:rFonts w:hint="eastAsia" w:ascii="楷体" w:hAnsi="楷体" w:eastAsia="仿宋_GB2312"/>
          <w:b w:val="0"/>
          <w:bCs w:val="0"/>
          <w:spacing w:val="-4"/>
          <w:sz w:val="32"/>
          <w:szCs w:val="32"/>
          <w:lang w:eastAsia="zh-CN"/>
        </w:rPr>
      </w:pPr>
      <w:r>
        <w:rPr>
          <w:rFonts w:hint="eastAsia" w:hAnsi="宋体" w:eastAsia="仿宋_GB2312" w:cs="宋体"/>
          <w:b w:val="0"/>
          <w:bCs w:val="0"/>
          <w:kern w:val="0"/>
          <w:sz w:val="36"/>
          <w:szCs w:val="36"/>
        </w:rPr>
        <w:t>项目负责人（签章）：</w:t>
      </w:r>
      <w:r>
        <w:rPr>
          <w:rStyle w:val="21"/>
          <w:rFonts w:hint="eastAsia" w:ascii="楷体" w:hAnsi="楷体" w:eastAsia="楷体"/>
          <w:b w:val="0"/>
          <w:bCs w:val="0"/>
          <w:spacing w:val="-4"/>
          <w:sz w:val="32"/>
          <w:szCs w:val="32"/>
          <w:lang w:eastAsia="zh-CN"/>
        </w:rPr>
        <w:t>邵刚</w:t>
      </w:r>
    </w:p>
    <w:p>
      <w:pPr>
        <w:keepNext w:val="0"/>
        <w:keepLines w:val="0"/>
        <w:pageBreakBefore w:val="0"/>
        <w:widowControl w:val="0"/>
        <w:kinsoku/>
        <w:wordWrap/>
        <w:overflowPunct/>
        <w:topLinePunct w:val="0"/>
        <w:autoSpaceDE/>
        <w:autoSpaceDN/>
        <w:bidi w:val="0"/>
        <w:adjustRightInd/>
        <w:snapToGrid/>
        <w:spacing w:line="600" w:lineRule="exact"/>
        <w:ind w:left="273" w:right="0" w:rightChars="0" w:firstLine="567"/>
        <w:textAlignment w:val="auto"/>
        <w:outlineLvl w:val="9"/>
        <w:rPr>
          <w:rStyle w:val="21"/>
          <w:rFonts w:hint="eastAsia" w:ascii="黑体" w:hAnsi="黑体" w:eastAsia="黑体"/>
          <w:b w:val="0"/>
          <w:bCs w:val="0"/>
          <w:spacing w:val="-4"/>
          <w:sz w:val="32"/>
          <w:szCs w:val="32"/>
        </w:rPr>
      </w:pPr>
      <w:r>
        <w:rPr>
          <w:rFonts w:hint="eastAsia" w:hAnsi="宋体" w:eastAsia="仿宋_GB2312" w:cs="宋体"/>
          <w:b w:val="0"/>
          <w:bCs w:val="0"/>
          <w:kern w:val="0"/>
          <w:sz w:val="36"/>
          <w:szCs w:val="36"/>
        </w:rPr>
        <w:t>填报时间：</w:t>
      </w:r>
      <w:r>
        <w:rPr>
          <w:rStyle w:val="21"/>
          <w:rFonts w:hint="eastAsia" w:ascii="楷体" w:hAnsi="楷体" w:eastAsia="楷体"/>
          <w:b w:val="0"/>
          <w:bCs w:val="0"/>
          <w:spacing w:val="-4"/>
          <w:sz w:val="32"/>
          <w:szCs w:val="32"/>
        </w:rPr>
        <w:t>202</w:t>
      </w:r>
      <w:r>
        <w:rPr>
          <w:rStyle w:val="21"/>
          <w:rFonts w:hint="default" w:ascii="楷体" w:hAnsi="楷体" w:eastAsia="楷体"/>
          <w:b w:val="0"/>
          <w:bCs w:val="0"/>
          <w:spacing w:val="-4"/>
          <w:sz w:val="32"/>
          <w:szCs w:val="32"/>
          <w:lang w:val="en-US"/>
        </w:rPr>
        <w:t>6</w:t>
      </w:r>
      <w:r>
        <w:rPr>
          <w:rStyle w:val="21"/>
          <w:rFonts w:hint="eastAsia" w:ascii="楷体" w:hAnsi="楷体" w:eastAsia="楷体"/>
          <w:b w:val="0"/>
          <w:bCs w:val="0"/>
          <w:spacing w:val="-4"/>
          <w:sz w:val="32"/>
          <w:szCs w:val="32"/>
        </w:rPr>
        <w:t>年0</w:t>
      </w:r>
      <w:r>
        <w:rPr>
          <w:rStyle w:val="21"/>
          <w:rFonts w:hint="default" w:ascii="楷体" w:hAnsi="楷体" w:eastAsia="楷体"/>
          <w:b w:val="0"/>
          <w:bCs w:val="0"/>
          <w:spacing w:val="-4"/>
          <w:sz w:val="32"/>
          <w:szCs w:val="32"/>
          <w:lang w:val="en-US"/>
        </w:rPr>
        <w:t>4</w:t>
      </w:r>
      <w:r>
        <w:rPr>
          <w:rStyle w:val="21"/>
          <w:rFonts w:hint="eastAsia" w:ascii="楷体" w:hAnsi="楷体" w:eastAsia="楷体"/>
          <w:b w:val="0"/>
          <w:bCs w:val="0"/>
          <w:spacing w:val="-4"/>
          <w:sz w:val="32"/>
          <w:szCs w:val="32"/>
        </w:rPr>
        <w:t>月2</w:t>
      </w:r>
      <w:r>
        <w:rPr>
          <w:rStyle w:val="21"/>
          <w:rFonts w:hint="default" w:ascii="楷体" w:hAnsi="楷体" w:eastAsia="楷体"/>
          <w:b w:val="0"/>
          <w:bCs w:val="0"/>
          <w:spacing w:val="-4"/>
          <w:sz w:val="32"/>
          <w:szCs w:val="32"/>
          <w:lang w:val="en-US"/>
        </w:rPr>
        <w:t>0</w:t>
      </w:r>
      <w:r>
        <w:rPr>
          <w:rStyle w:val="21"/>
          <w:rFonts w:hint="eastAsia" w:ascii="楷体" w:hAnsi="楷体" w:eastAsia="楷体"/>
          <w:b w:val="0"/>
          <w:bCs w:val="0"/>
          <w:spacing w:val="-4"/>
          <w:sz w:val="32"/>
          <w:szCs w:val="32"/>
        </w:rPr>
        <w:t>日</w:t>
      </w: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textAlignment w:val="auto"/>
        <w:outlineLvl w:val="9"/>
        <w:rPr>
          <w:rStyle w:val="21"/>
          <w:rFonts w:hint="eastAsia" w:ascii="黑体" w:hAnsi="黑体" w:eastAsia="黑体" w:cs="黑体"/>
          <w:b w:val="0"/>
          <w:bCs/>
          <w:spacing w:val="-4"/>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textAlignment w:val="auto"/>
        <w:outlineLvl w:val="9"/>
        <w:rPr>
          <w:rStyle w:val="21"/>
          <w:rFonts w:hint="eastAsia" w:ascii="黑体" w:hAnsi="黑体" w:eastAsia="黑体" w:cs="黑体"/>
          <w:b w:val="0"/>
          <w:bCs/>
          <w:spacing w:val="-4"/>
          <w:sz w:val="32"/>
          <w:szCs w:val="32"/>
        </w:rPr>
      </w:pPr>
      <w:r>
        <w:rPr>
          <w:rStyle w:val="21"/>
          <w:rFonts w:hint="eastAsia" w:ascii="黑体" w:hAnsi="黑体" w:eastAsia="黑体" w:cs="黑体"/>
          <w:b w:val="0"/>
          <w:bCs/>
          <w:spacing w:val="-4"/>
          <w:sz w:val="32"/>
          <w:szCs w:val="32"/>
        </w:rPr>
        <w:t>一、基本情况</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567"/>
        <w:textAlignment w:val="auto"/>
        <w:outlineLvl w:val="9"/>
        <w:rPr>
          <w:rStyle w:val="21"/>
          <w:rFonts w:hint="eastAsia" w:ascii="楷体_GB2312" w:hAnsi="楷体_GB2312" w:eastAsia="楷体_GB2312" w:cs="楷体_GB2312"/>
          <w:b w:val="0"/>
          <w:bCs/>
          <w:spacing w:val="-4"/>
          <w:sz w:val="32"/>
          <w:szCs w:val="32"/>
        </w:rPr>
      </w:pPr>
      <w:r>
        <w:rPr>
          <w:rStyle w:val="21"/>
          <w:rFonts w:hint="eastAsia" w:ascii="楷体_GB2312" w:hAnsi="楷体_GB2312" w:eastAsia="楷体_GB2312" w:cs="楷体_GB2312"/>
          <w:b w:val="0"/>
          <w:bCs/>
          <w:spacing w:val="-4"/>
          <w:sz w:val="32"/>
          <w:szCs w:val="32"/>
        </w:rPr>
        <w:t>（一）项目概况。包括项目背景、主要内容及实施情况、资金投入和使用情况等。</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outlineLvl w:val="9"/>
        <w:rPr>
          <w:rStyle w:val="21"/>
          <w:rFonts w:hint="eastAsia" w:ascii="仿宋_GB2312" w:hAnsi="仿宋_GB2312" w:eastAsia="仿宋_GB2312" w:cs="仿宋_GB2312"/>
          <w:b w:val="0"/>
          <w:bCs/>
          <w:spacing w:val="-4"/>
          <w:sz w:val="32"/>
          <w:szCs w:val="32"/>
        </w:rPr>
      </w:pPr>
      <w:r>
        <w:rPr>
          <w:rStyle w:val="21"/>
          <w:rFonts w:hint="eastAsia" w:ascii="仿宋_GB2312" w:hAnsi="仿宋_GB2312" w:eastAsia="仿宋_GB2312" w:cs="仿宋_GB2312"/>
          <w:b w:val="0"/>
          <w:bCs/>
          <w:spacing w:val="-4"/>
          <w:sz w:val="32"/>
          <w:szCs w:val="32"/>
        </w:rPr>
        <w:t>项目名称：国有企业资产监督管理综合经费项目</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right="0" w:rightChars="0" w:firstLine="626" w:firstLineChars="200"/>
        <w:textAlignment w:val="auto"/>
        <w:outlineLvl w:val="9"/>
        <w:rPr>
          <w:rStyle w:val="21"/>
          <w:rFonts w:hint="default" w:ascii="仿宋_GB2312" w:hAnsi="仿宋_GB2312" w:eastAsia="仿宋_GB2312" w:cs="仿宋_GB2312"/>
          <w:b/>
          <w:bCs w:val="0"/>
          <w:spacing w:val="-4"/>
          <w:sz w:val="32"/>
          <w:szCs w:val="32"/>
          <w:lang w:val="en-US"/>
        </w:rPr>
      </w:pPr>
      <w:r>
        <w:rPr>
          <w:rStyle w:val="21"/>
          <w:rFonts w:hint="eastAsia" w:ascii="仿宋_GB2312" w:hAnsi="仿宋_GB2312" w:eastAsia="仿宋_GB2312" w:cs="仿宋_GB2312"/>
          <w:b/>
          <w:bCs w:val="0"/>
          <w:spacing w:val="-4"/>
          <w:sz w:val="32"/>
          <w:szCs w:val="32"/>
        </w:rPr>
        <w:t>项目背景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24" w:firstLineChars="200"/>
        <w:textAlignment w:val="auto"/>
        <w:outlineLvl w:val="9"/>
        <w:rPr>
          <w:rStyle w:val="21"/>
          <w:rFonts w:hint="eastAsia" w:ascii="仿宋_GB2312" w:hAnsi="仿宋_GB2312" w:eastAsia="仿宋_GB2312" w:cs="仿宋_GB2312"/>
          <w:b w:val="0"/>
          <w:bCs/>
          <w:spacing w:val="-4"/>
          <w:sz w:val="32"/>
          <w:szCs w:val="32"/>
        </w:rPr>
      </w:pPr>
      <w:r>
        <w:rPr>
          <w:rStyle w:val="21"/>
          <w:rFonts w:hint="eastAsia" w:ascii="仿宋_GB2312" w:hAnsi="仿宋_GB2312" w:eastAsia="仿宋_GB2312" w:cs="仿宋_GB2312"/>
          <w:b w:val="0"/>
          <w:bCs/>
          <w:spacing w:val="-4"/>
          <w:sz w:val="32"/>
          <w:szCs w:val="32"/>
        </w:rPr>
        <w:t>为进一步履行好出资人职责，不断提升对自治区区属企业的专业化监管水平、专业化体系化法治化监管能力，筑牢国有资产监管防线，确保国有资产保值增值。根据《自治区党委办公厅、自治区人民政府办公厅关于印发﹤新疆维吾尔自治区国有资产监督管理委员会职能配置、内设机构和人员编制规定﹥的通知》（新党厅字〔2018〕166号）的职能要求设立此项目，该项目的设立为国资监管各项工作的顺利开展提供了有力的资金保障。</w:t>
      </w:r>
    </w:p>
    <w:p>
      <w:pPr>
        <w:widowControl/>
        <w:spacing w:line="560" w:lineRule="exact"/>
        <w:ind w:firstLine="624" w:firstLineChars="200"/>
        <w:rPr>
          <w:rFonts w:hint="eastAsia" w:ascii="仿宋" w:hAnsi="微软雅黑" w:eastAsia="仿宋"/>
          <w:sz w:val="28"/>
          <w:szCs w:val="28"/>
          <w:lang w:eastAsia="zh-CN"/>
        </w:rPr>
      </w:pPr>
      <w:r>
        <w:rPr>
          <w:rStyle w:val="21"/>
          <w:rFonts w:hint="eastAsia" w:ascii="仿宋_GB2312" w:hAnsi="仿宋_GB2312" w:eastAsia="仿宋_GB2312" w:cs="仿宋_GB2312"/>
          <w:b w:val="0"/>
          <w:bCs/>
          <w:spacing w:val="-4"/>
          <w:sz w:val="32"/>
          <w:szCs w:val="32"/>
        </w:rPr>
        <w:t>设立依据：</w:t>
      </w:r>
      <w:r>
        <w:rPr>
          <w:rFonts w:hint="eastAsia" w:ascii="仿宋" w:hAnsi="微软雅黑" w:eastAsia="仿宋"/>
          <w:sz w:val="28"/>
          <w:szCs w:val="28"/>
        </w:rPr>
        <w:t>1.自治区党委办公厅、自治区人民政府办公厅关于印发﹤新疆维吾尔自治区国有资产监督管理委员会职能配置、内设机构和人员编制规定﹥的通知》（新党厅字〔2018〕166号）</w:t>
      </w:r>
      <w:r>
        <w:rPr>
          <w:rFonts w:hint="eastAsia" w:ascii="仿宋" w:hAnsi="微软雅黑" w:eastAsia="仿宋"/>
          <w:sz w:val="28"/>
          <w:szCs w:val="28"/>
          <w:lang w:eastAsia="zh-CN"/>
        </w:rPr>
        <w:t>；</w:t>
      </w:r>
    </w:p>
    <w:p>
      <w:pPr>
        <w:widowControl/>
        <w:spacing w:line="560" w:lineRule="exact"/>
        <w:ind w:firstLine="560" w:firstLineChars="200"/>
        <w:rPr>
          <w:rFonts w:hint="eastAsia" w:ascii="仿宋" w:hAnsi="微软雅黑" w:eastAsia="仿宋"/>
          <w:sz w:val="28"/>
          <w:szCs w:val="28"/>
          <w:lang w:eastAsia="zh-CN"/>
        </w:rPr>
      </w:pPr>
      <w:r>
        <w:rPr>
          <w:rFonts w:hint="eastAsia" w:ascii="仿宋" w:hAnsi="微软雅黑" w:eastAsia="仿宋"/>
          <w:sz w:val="28"/>
          <w:szCs w:val="28"/>
        </w:rPr>
        <w:t>2.《自治区区属国有企业违规经营投资责任追究办法（试行）》（新政办发〔2018〕124号）、《新疆自治区国资委监管企业内部审计暂行规定》（新国资办〔2020〕53号）、《关于加强自治区国资委监管企业内部控制体系建设与监督工作的实施意见》（新国资办〔2020〕28号）、《自治区安全生产治本攻坚三年行动方案（2024－2026年）》（新安〔2024〕3号）</w:t>
      </w:r>
      <w:r>
        <w:rPr>
          <w:rFonts w:hint="eastAsia" w:ascii="仿宋" w:hAnsi="微软雅黑" w:eastAsia="仿宋"/>
          <w:sz w:val="28"/>
          <w:szCs w:val="28"/>
          <w:lang w:eastAsia="zh-CN"/>
        </w:rPr>
        <w:t>；</w:t>
      </w:r>
    </w:p>
    <w:p>
      <w:pPr>
        <w:widowControl/>
        <w:spacing w:line="560" w:lineRule="exact"/>
        <w:ind w:firstLine="560" w:firstLineChars="200"/>
        <w:rPr>
          <w:rFonts w:hint="eastAsia" w:ascii="仿宋" w:hAnsi="微软雅黑" w:eastAsia="仿宋"/>
          <w:sz w:val="28"/>
          <w:szCs w:val="28"/>
          <w:lang w:eastAsia="zh-CN"/>
        </w:rPr>
      </w:pPr>
      <w:r>
        <w:rPr>
          <w:rFonts w:hint="eastAsia" w:ascii="仿宋" w:hAnsi="微软雅黑" w:eastAsia="仿宋"/>
          <w:sz w:val="28"/>
          <w:szCs w:val="28"/>
        </w:rPr>
        <w:t>3.《企业国有资产评估管理暂行办法》（国务院国资委令第12号）、《国家出资企业产权登记管理暂行办法》（国务院国资委第29号令）</w:t>
      </w:r>
      <w:r>
        <w:rPr>
          <w:rFonts w:hint="eastAsia" w:ascii="仿宋" w:hAnsi="微软雅黑" w:eastAsia="仿宋"/>
          <w:sz w:val="28"/>
          <w:szCs w:val="28"/>
          <w:lang w:eastAsia="zh-CN"/>
        </w:rPr>
        <w:t>；</w:t>
      </w:r>
    </w:p>
    <w:p>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 xml:space="preserve">4.《企业国有资产统计报告办法》（国务院国资委令第4号）、《企业财务决算报告办法》; </w:t>
      </w:r>
    </w:p>
    <w:p>
      <w:pPr>
        <w:widowControl/>
        <w:spacing w:line="560" w:lineRule="exact"/>
        <w:ind w:firstLine="560" w:firstLineChars="200"/>
        <w:rPr>
          <w:rFonts w:hint="default" w:ascii="仿宋" w:hAnsi="微软雅黑" w:eastAsia="仿宋"/>
          <w:sz w:val="28"/>
          <w:szCs w:val="28"/>
        </w:rPr>
      </w:pPr>
      <w:r>
        <w:rPr>
          <w:rFonts w:hint="eastAsia" w:ascii="仿宋" w:hAnsi="微软雅黑" w:eastAsia="仿宋"/>
          <w:sz w:val="28"/>
          <w:szCs w:val="28"/>
        </w:rPr>
        <w:t>5.《自治区党委办公厅、自治区人民政府办公厅印发﹤关于加强国有企业资产负债约束的实施意见﹥的通知》（新党厅字〔2018〕106号）、《关于积极稳妥降低企业杠杆率的实施意见》（新政发〔2017〕142号）；</w:t>
      </w:r>
    </w:p>
    <w:p>
      <w:pPr>
        <w:widowControl/>
        <w:spacing w:line="560" w:lineRule="exact"/>
        <w:ind w:firstLine="560" w:firstLineChars="200"/>
        <w:rPr>
          <w:rFonts w:hint="eastAsia" w:ascii="仿宋" w:hAnsi="微软雅黑" w:eastAsia="仿宋"/>
          <w:sz w:val="28"/>
          <w:szCs w:val="28"/>
          <w:lang w:eastAsia="zh-CN"/>
        </w:rPr>
      </w:pPr>
      <w:r>
        <w:rPr>
          <w:rFonts w:hint="eastAsia" w:ascii="仿宋" w:hAnsi="微软雅黑" w:eastAsia="仿宋"/>
          <w:sz w:val="28"/>
          <w:szCs w:val="28"/>
        </w:rPr>
        <w:t>6.《自治区国资委监管企业投资监督管理办法》的通知（新国资发〔2023〕480号）</w:t>
      </w:r>
      <w:r>
        <w:rPr>
          <w:rFonts w:hint="eastAsia" w:ascii="仿宋" w:hAnsi="微软雅黑" w:eastAsia="仿宋"/>
          <w:sz w:val="28"/>
          <w:szCs w:val="28"/>
          <w:lang w:eastAsia="zh-CN"/>
        </w:rPr>
        <w:t>；</w:t>
      </w:r>
    </w:p>
    <w:p>
      <w:pPr>
        <w:widowControl/>
        <w:spacing w:line="560" w:lineRule="exact"/>
        <w:ind w:firstLine="560" w:firstLineChars="200"/>
        <w:rPr>
          <w:rFonts w:hint="eastAsia" w:ascii="仿宋" w:hAnsi="微软雅黑" w:eastAsia="仿宋"/>
          <w:sz w:val="28"/>
          <w:szCs w:val="28"/>
          <w:lang w:eastAsia="zh-CN"/>
        </w:rPr>
      </w:pPr>
      <w:r>
        <w:rPr>
          <w:rFonts w:hint="eastAsia" w:ascii="仿宋" w:hAnsi="微软雅黑" w:eastAsia="仿宋"/>
          <w:sz w:val="28"/>
          <w:szCs w:val="28"/>
        </w:rPr>
        <w:t>7.《自治区国有企业改革深化提升行动实施方案（2023-2025年）》</w:t>
      </w:r>
      <w:r>
        <w:rPr>
          <w:rFonts w:hint="eastAsia" w:ascii="仿宋" w:hAnsi="微软雅黑" w:eastAsia="仿宋"/>
          <w:sz w:val="28"/>
          <w:szCs w:val="28"/>
          <w:lang w:eastAsia="zh-CN"/>
        </w:rPr>
        <w:t>；</w:t>
      </w:r>
    </w:p>
    <w:p>
      <w:pPr>
        <w:widowControl/>
        <w:spacing w:line="560" w:lineRule="exact"/>
        <w:ind w:firstLine="560" w:firstLineChars="200"/>
        <w:rPr>
          <w:rFonts w:hint="eastAsia" w:ascii="仿宋" w:hAnsi="微软雅黑" w:eastAsia="仿宋"/>
          <w:sz w:val="28"/>
          <w:szCs w:val="28"/>
          <w:lang w:eastAsia="zh-CN"/>
        </w:rPr>
      </w:pPr>
      <w:r>
        <w:rPr>
          <w:rFonts w:hint="eastAsia" w:ascii="仿宋" w:hAnsi="微软雅黑" w:eastAsia="仿宋"/>
          <w:sz w:val="28"/>
          <w:szCs w:val="28"/>
        </w:rPr>
        <w:t>8.《关于进一步加强和规范外部董事履职支撑服务的工作方案》</w:t>
      </w:r>
      <w:r>
        <w:rPr>
          <w:rFonts w:hint="eastAsia" w:ascii="仿宋" w:hAnsi="微软雅黑" w:eastAsia="仿宋"/>
          <w:sz w:val="28"/>
          <w:szCs w:val="28"/>
          <w:lang w:eastAsia="zh-CN"/>
        </w:rPr>
        <w:t>；</w:t>
      </w:r>
    </w:p>
    <w:p>
      <w:pPr>
        <w:widowControl/>
        <w:spacing w:line="560" w:lineRule="exact"/>
        <w:ind w:firstLine="560" w:firstLineChars="200"/>
        <w:rPr>
          <w:rFonts w:hint="eastAsia" w:ascii="仿宋" w:hAnsi="微软雅黑" w:eastAsia="仿宋"/>
          <w:sz w:val="28"/>
          <w:szCs w:val="28"/>
          <w:lang w:eastAsia="zh-CN"/>
        </w:rPr>
      </w:pPr>
      <w:r>
        <w:rPr>
          <w:rFonts w:hint="eastAsia" w:ascii="仿宋" w:hAnsi="微软雅黑" w:eastAsia="仿宋"/>
          <w:sz w:val="28"/>
          <w:szCs w:val="28"/>
        </w:rPr>
        <w:t>9.《自治区发展改革委关于做好自治区“十五五”规划前期工作的通知》（新发改规划〔2024〕218号）</w:t>
      </w:r>
      <w:r>
        <w:rPr>
          <w:rFonts w:hint="eastAsia" w:ascii="仿宋" w:hAnsi="微软雅黑" w:eastAsia="仿宋"/>
          <w:sz w:val="28"/>
          <w:szCs w:val="28"/>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26" w:firstLineChars="200"/>
        <w:textAlignment w:val="auto"/>
        <w:outlineLvl w:val="9"/>
        <w:rPr>
          <w:rStyle w:val="21"/>
          <w:rFonts w:hint="eastAsia" w:ascii="仿宋_GB2312" w:hAnsi="仿宋_GB2312" w:eastAsia="仿宋_GB2312" w:cs="仿宋_GB2312"/>
          <w:b w:val="0"/>
          <w:bCs/>
          <w:spacing w:val="-4"/>
          <w:sz w:val="32"/>
          <w:szCs w:val="32"/>
          <w:lang w:val="en-US" w:eastAsia="zh-CN"/>
        </w:rPr>
      </w:pPr>
      <w:r>
        <w:rPr>
          <w:rStyle w:val="21"/>
          <w:rFonts w:hint="default" w:ascii="仿宋_GB2312" w:hAnsi="仿宋_GB2312" w:eastAsia="仿宋_GB2312" w:cs="仿宋_GB2312"/>
          <w:b/>
          <w:bCs w:val="0"/>
          <w:spacing w:val="-4"/>
          <w:sz w:val="32"/>
          <w:szCs w:val="32"/>
          <w:lang w:val="en-US"/>
        </w:rPr>
        <w:t xml:space="preserve"> </w:t>
      </w:r>
      <w:r>
        <w:rPr>
          <w:rStyle w:val="21"/>
          <w:rFonts w:hint="eastAsia" w:ascii="仿宋_GB2312" w:hAnsi="仿宋_GB2312" w:eastAsia="仿宋_GB2312" w:cs="仿宋_GB2312"/>
          <w:b/>
          <w:bCs w:val="0"/>
          <w:spacing w:val="-4"/>
          <w:sz w:val="32"/>
          <w:szCs w:val="32"/>
        </w:rPr>
        <w:t>2.主要内容</w:t>
      </w:r>
      <w:r>
        <w:rPr>
          <w:rStyle w:val="21"/>
          <w:rFonts w:hint="eastAsia" w:ascii="仿宋_GB2312" w:hAnsi="仿宋_GB2312" w:eastAsia="仿宋_GB2312" w:cs="仿宋_GB2312"/>
          <w:b/>
          <w:bCs w:val="0"/>
          <w:spacing w:val="-4"/>
          <w:sz w:val="32"/>
          <w:szCs w:val="32"/>
        </w:rPr>
        <w:cr/>
      </w:r>
      <w:r>
        <w:rPr>
          <w:rStyle w:val="21"/>
          <w:rFonts w:hint="default" w:ascii="仿宋_GB2312" w:hAnsi="仿宋_GB2312" w:eastAsia="仿宋_GB2312" w:cs="仿宋_GB2312"/>
          <w:b/>
          <w:bCs w:val="0"/>
          <w:spacing w:val="-4"/>
          <w:sz w:val="32"/>
          <w:szCs w:val="32"/>
          <w:lang w:val="en-US"/>
        </w:rPr>
        <w:t xml:space="preserve">    </w:t>
      </w:r>
      <w:r>
        <w:rPr>
          <w:rStyle w:val="21"/>
          <w:rFonts w:hint="eastAsia" w:ascii="仿宋_GB2312" w:hAnsi="仿宋_GB2312" w:eastAsia="仿宋_GB2312" w:cs="仿宋_GB2312"/>
          <w:b w:val="0"/>
          <w:bCs/>
          <w:spacing w:val="-4"/>
          <w:sz w:val="32"/>
          <w:szCs w:val="32"/>
          <w:lang w:val="en-US" w:eastAsia="zh-CN"/>
        </w:rPr>
        <w:t>根据《自治区党委办公厅、自治区人民政府办公厅关于印发﹤新疆维吾尔自治区国有资产监督管理委员会职能配置、内设机构和人员编制规定﹥的通知》（新党厅字〔2018〕166号）的职责要求，围绕“做强做优做大国有资本和国有企业”这个目标，做好各项国资监管业务工作，保障国有资产保值增值。</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24" w:firstLineChars="200"/>
        <w:textAlignment w:val="auto"/>
        <w:outlineLvl w:val="9"/>
        <w:rPr>
          <w:rStyle w:val="21"/>
          <w:rFonts w:hint="eastAsia" w:ascii="仿宋_GB2312" w:hAnsi="仿宋_GB2312" w:eastAsia="仿宋_GB2312" w:cs="仿宋_GB2312"/>
          <w:b w:val="0"/>
          <w:bCs/>
          <w:spacing w:val="-4"/>
          <w:sz w:val="32"/>
          <w:szCs w:val="32"/>
          <w:lang w:val="en-US" w:eastAsia="zh-CN"/>
        </w:rPr>
      </w:pPr>
      <w:r>
        <w:rPr>
          <w:rStyle w:val="21"/>
          <w:rFonts w:hint="eastAsia" w:ascii="仿宋_GB2312" w:hAnsi="仿宋_GB2312" w:eastAsia="仿宋_GB2312" w:cs="仿宋_GB2312"/>
          <w:b w:val="0"/>
          <w:bCs/>
          <w:spacing w:val="-4"/>
          <w:sz w:val="32"/>
          <w:szCs w:val="32"/>
          <w:lang w:val="en-US" w:eastAsia="zh-CN"/>
        </w:rPr>
        <w:t>目标1：强化体系化监管，推动出资人监督、财会监督等各类监督贯通协调，加强对企业整体性、综合性、立体化的研判和精准指导，提升国资监管效能。</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24" w:firstLineChars="200"/>
        <w:textAlignment w:val="auto"/>
        <w:outlineLvl w:val="9"/>
        <w:rPr>
          <w:rStyle w:val="21"/>
          <w:rFonts w:hint="eastAsia" w:ascii="仿宋_GB2312" w:hAnsi="仿宋_GB2312" w:eastAsia="仿宋_GB2312" w:cs="仿宋_GB2312"/>
          <w:b w:val="0"/>
          <w:bCs/>
          <w:spacing w:val="-4"/>
          <w:sz w:val="32"/>
          <w:szCs w:val="32"/>
          <w:lang w:val="en-US" w:eastAsia="zh-CN"/>
        </w:rPr>
      </w:pPr>
      <w:r>
        <w:rPr>
          <w:rStyle w:val="21"/>
          <w:rFonts w:hint="eastAsia" w:ascii="仿宋_GB2312" w:hAnsi="仿宋_GB2312" w:eastAsia="仿宋_GB2312" w:cs="仿宋_GB2312"/>
          <w:b w:val="0"/>
          <w:bCs/>
          <w:spacing w:val="-4"/>
          <w:sz w:val="32"/>
          <w:szCs w:val="32"/>
          <w:lang w:val="en-US" w:eastAsia="zh-CN"/>
        </w:rPr>
        <w:t>目标2：加强法治化监管。充分发挥国资系统法务专家库和总法律顾问的作用，实现企业法务与经营管理深度融合，进一步防范化解企业法律风险。</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24" w:firstLineChars="200"/>
        <w:textAlignment w:val="auto"/>
        <w:outlineLvl w:val="9"/>
        <w:rPr>
          <w:rStyle w:val="21"/>
          <w:rFonts w:hint="eastAsia" w:ascii="仿宋_GB2312" w:hAnsi="仿宋_GB2312" w:eastAsia="仿宋_GB2312" w:cs="仿宋_GB2312"/>
          <w:b w:val="0"/>
          <w:bCs/>
          <w:spacing w:val="-4"/>
          <w:sz w:val="32"/>
          <w:szCs w:val="32"/>
          <w:lang w:val="en-US" w:eastAsia="zh-CN"/>
        </w:rPr>
      </w:pPr>
      <w:r>
        <w:rPr>
          <w:rStyle w:val="21"/>
          <w:rFonts w:hint="eastAsia" w:ascii="仿宋_GB2312" w:hAnsi="仿宋_GB2312" w:eastAsia="仿宋_GB2312" w:cs="仿宋_GB2312"/>
          <w:b w:val="0"/>
          <w:bCs/>
          <w:spacing w:val="-4"/>
          <w:sz w:val="32"/>
          <w:szCs w:val="32"/>
          <w:lang w:val="en-US" w:eastAsia="zh-CN"/>
        </w:rPr>
        <w:t>目标3：强化重大风险管理。完善全面风险管理体系，强化风险监测、预警、分析，尽早发现、有效处置风险隐患，不断提升有效防范化解各类重大风险的能力和水平，牢牢守住不发生重大风险的底线。</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24" w:firstLineChars="200"/>
        <w:textAlignment w:val="auto"/>
        <w:outlineLvl w:val="9"/>
        <w:rPr>
          <w:rStyle w:val="21"/>
          <w:rFonts w:hint="eastAsia" w:ascii="仿宋_GB2312" w:hAnsi="仿宋_GB2312" w:eastAsia="仿宋_GB2312" w:cs="仿宋_GB2312"/>
          <w:b w:val="0"/>
          <w:bCs/>
          <w:spacing w:val="-4"/>
          <w:sz w:val="32"/>
          <w:szCs w:val="32"/>
          <w:lang w:val="en-US" w:eastAsia="zh-CN"/>
        </w:rPr>
      </w:pPr>
      <w:r>
        <w:rPr>
          <w:rStyle w:val="21"/>
          <w:rFonts w:hint="eastAsia" w:ascii="仿宋_GB2312" w:hAnsi="仿宋_GB2312" w:eastAsia="仿宋_GB2312" w:cs="仿宋_GB2312"/>
          <w:b w:val="0"/>
          <w:bCs/>
          <w:spacing w:val="-4"/>
          <w:sz w:val="32"/>
          <w:szCs w:val="32"/>
          <w:lang w:val="en-US" w:eastAsia="zh-CN"/>
        </w:rPr>
        <w:t>目标4：认真贯彻落实中央及自治区党委、政府作出的重大部署，力争到2025年末，监管企业净资产收益率有所增长，确保监管企业国有资本保值增值不低于100%。</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24" w:firstLineChars="200"/>
        <w:textAlignment w:val="auto"/>
        <w:outlineLvl w:val="9"/>
        <w:rPr>
          <w:rStyle w:val="21"/>
          <w:rFonts w:hint="eastAsia" w:ascii="仿宋_GB2312" w:hAnsi="仿宋_GB2312" w:eastAsia="仿宋_GB2312" w:cs="仿宋_GB2312"/>
          <w:b w:val="0"/>
          <w:bCs/>
          <w:spacing w:val="-4"/>
          <w:sz w:val="32"/>
          <w:szCs w:val="32"/>
          <w:lang w:val="en-US" w:eastAsia="zh-CN"/>
        </w:rPr>
      </w:pPr>
      <w:r>
        <w:rPr>
          <w:rStyle w:val="21"/>
          <w:rFonts w:hint="eastAsia" w:ascii="仿宋_GB2312" w:hAnsi="仿宋_GB2312" w:eastAsia="仿宋_GB2312" w:cs="仿宋_GB2312"/>
          <w:b w:val="0"/>
          <w:bCs/>
          <w:spacing w:val="-4"/>
          <w:sz w:val="32"/>
          <w:szCs w:val="32"/>
          <w:lang w:val="en-US" w:eastAsia="zh-CN"/>
        </w:rPr>
        <w:t>目标5：组织专业力量编制《自治区国资委出资企业“十五五”发展规划纲要》，力争在2025年12月基本完成、2026年6月全面完成。</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24" w:firstLineChars="200"/>
        <w:textAlignment w:val="auto"/>
        <w:outlineLvl w:val="9"/>
        <w:rPr>
          <w:rStyle w:val="21"/>
          <w:rFonts w:hint="eastAsia" w:ascii="仿宋_GB2312" w:hAnsi="仿宋_GB2312" w:eastAsia="仿宋_GB2312" w:cs="仿宋_GB2312"/>
          <w:b w:val="0"/>
          <w:bCs/>
          <w:spacing w:val="-4"/>
          <w:sz w:val="32"/>
          <w:szCs w:val="32"/>
          <w:lang w:val="en-US" w:eastAsia="zh-CN"/>
        </w:rPr>
      </w:pPr>
      <w:r>
        <w:rPr>
          <w:rStyle w:val="21"/>
          <w:rFonts w:hint="eastAsia" w:ascii="仿宋_GB2312" w:hAnsi="仿宋_GB2312" w:eastAsia="仿宋_GB2312" w:cs="仿宋_GB2312"/>
          <w:b w:val="0"/>
          <w:bCs/>
          <w:spacing w:val="-4"/>
          <w:sz w:val="32"/>
          <w:szCs w:val="32"/>
          <w:lang w:val="en-US" w:eastAsia="zh-CN"/>
        </w:rPr>
        <w:t>目标6：通过持续开展各类业务培训、进一步完善国资委系统内控机制建设，提升外部董事专业化水平和履职能力，切实提高企业安全生产管理水平和处突应急能力。</w:t>
      </w:r>
    </w:p>
    <w:p>
      <w:pPr>
        <w:pStyle w:val="17"/>
        <w:widowControl w:val="0"/>
        <w:numPr>
          <w:ilvl w:val="0"/>
          <w:numId w:val="0"/>
        </w:numPr>
        <w:wordWrap/>
        <w:snapToGrid/>
        <w:spacing w:before="0" w:beforeAutospacing="0" w:after="0" w:afterAutospacing="0" w:line="600" w:lineRule="exact"/>
        <w:ind w:right="0" w:rightChars="0" w:firstLine="626" w:firstLineChars="200"/>
        <w:jc w:val="both"/>
        <w:textAlignment w:val="auto"/>
        <w:rPr>
          <w:rFonts w:hint="eastAsia" w:ascii="仿宋_GB2312" w:hAnsi="仿宋_GB2312" w:eastAsia="仿宋_GB2312" w:cs="仿宋_GB2312"/>
          <w:bCs/>
          <w:sz w:val="32"/>
          <w:szCs w:val="32"/>
          <w:lang w:eastAsia="zh-CN"/>
        </w:rPr>
      </w:pPr>
      <w:r>
        <w:rPr>
          <w:rStyle w:val="21"/>
          <w:rFonts w:hint="eastAsia" w:ascii="仿宋_GB2312" w:hAnsi="仿宋_GB2312" w:eastAsia="仿宋_GB2312" w:cs="仿宋_GB2312"/>
          <w:b/>
          <w:bCs w:val="0"/>
          <w:spacing w:val="-4"/>
          <w:sz w:val="32"/>
          <w:szCs w:val="32"/>
        </w:rPr>
        <w:t>3.实施情况</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（1）项目实施主体</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该项目实施主体为新疆维吾尔自治区人民政府国有资产监督管理委员会，国资委是代表自治区人民政府履行出资人职责的直属特设机构，主要履行国有企业出资人职责、专司国有资产监管职责、负责国有企业党的建设工作职责，主要抓好推动国有企业发展、深化国有企业改革、加强国有资产监管、抓好党的领导党的建设等四个方面工作。</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（2）实施时间和评价时间</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该项目实施时间为202</w:t>
      </w:r>
      <w:r>
        <w:rPr>
          <w:rStyle w:val="21"/>
          <w:rFonts w:hint="default" w:ascii="仿宋_GB2312" w:hAnsi="仿宋_GB2312" w:eastAsia="仿宋_GB2312" w:cs="仿宋_GB2312"/>
          <w:b w:val="0"/>
          <w:bCs/>
          <w:spacing w:val="-4"/>
          <w:sz w:val="32"/>
          <w:szCs w:val="32"/>
          <w:lang w:val="en-US"/>
        </w:rPr>
        <w:t>5</w:t>
      </w:r>
      <w:r>
        <w:rPr>
          <w:rStyle w:val="21"/>
          <w:rFonts w:hint="eastAsia" w:ascii="仿宋_GB2312" w:hAnsi="仿宋_GB2312" w:eastAsia="仿宋_GB2312" w:cs="仿宋_GB2312"/>
          <w:b w:val="0"/>
          <w:bCs/>
          <w:spacing w:val="-4"/>
          <w:sz w:val="32"/>
          <w:szCs w:val="32"/>
        </w:rPr>
        <w:t>年1月至202</w:t>
      </w:r>
      <w:r>
        <w:rPr>
          <w:rStyle w:val="21"/>
          <w:rFonts w:hint="default" w:ascii="仿宋_GB2312" w:hAnsi="仿宋_GB2312" w:eastAsia="仿宋_GB2312" w:cs="仿宋_GB2312"/>
          <w:b w:val="0"/>
          <w:bCs/>
          <w:spacing w:val="-4"/>
          <w:sz w:val="32"/>
          <w:szCs w:val="32"/>
          <w:lang w:val="en-US"/>
        </w:rPr>
        <w:t>5</w:t>
      </w:r>
      <w:r>
        <w:rPr>
          <w:rStyle w:val="21"/>
          <w:rFonts w:hint="eastAsia" w:ascii="仿宋_GB2312" w:hAnsi="仿宋_GB2312" w:eastAsia="仿宋_GB2312" w:cs="仿宋_GB2312"/>
          <w:b w:val="0"/>
          <w:bCs/>
          <w:spacing w:val="-4"/>
          <w:sz w:val="32"/>
          <w:szCs w:val="32"/>
        </w:rPr>
        <w:t>年12月，本次评价时间段为202</w:t>
      </w:r>
      <w:r>
        <w:rPr>
          <w:rStyle w:val="21"/>
          <w:rFonts w:hint="default" w:ascii="仿宋_GB2312" w:hAnsi="仿宋_GB2312" w:eastAsia="仿宋_GB2312" w:cs="仿宋_GB2312"/>
          <w:b w:val="0"/>
          <w:bCs/>
          <w:spacing w:val="-4"/>
          <w:sz w:val="32"/>
          <w:szCs w:val="32"/>
          <w:lang w:val="en-US"/>
        </w:rPr>
        <w:t>6</w:t>
      </w:r>
      <w:r>
        <w:rPr>
          <w:rStyle w:val="21"/>
          <w:rFonts w:hint="eastAsia" w:ascii="仿宋_GB2312" w:hAnsi="仿宋_GB2312" w:eastAsia="仿宋_GB2312" w:cs="仿宋_GB2312"/>
          <w:b w:val="0"/>
          <w:bCs/>
          <w:spacing w:val="-4"/>
          <w:sz w:val="32"/>
          <w:szCs w:val="32"/>
        </w:rPr>
        <w:t>年3月至202</w:t>
      </w:r>
      <w:r>
        <w:rPr>
          <w:rStyle w:val="21"/>
          <w:rFonts w:hint="default" w:ascii="仿宋_GB2312" w:hAnsi="仿宋_GB2312" w:eastAsia="仿宋_GB2312" w:cs="仿宋_GB2312"/>
          <w:b w:val="0"/>
          <w:bCs/>
          <w:spacing w:val="-4"/>
          <w:sz w:val="32"/>
          <w:szCs w:val="32"/>
          <w:lang w:val="en-US"/>
        </w:rPr>
        <w:t>6</w:t>
      </w:r>
      <w:r>
        <w:rPr>
          <w:rStyle w:val="21"/>
          <w:rFonts w:hint="eastAsia" w:ascii="仿宋_GB2312" w:hAnsi="仿宋_GB2312" w:eastAsia="仿宋_GB2312" w:cs="仿宋_GB2312"/>
          <w:b w:val="0"/>
          <w:bCs/>
          <w:spacing w:val="-4"/>
          <w:sz w:val="32"/>
          <w:szCs w:val="32"/>
        </w:rPr>
        <w:t>年4月。</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（3）完成情况</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50"/>
          <w:rFonts w:hint="eastAsia" w:ascii="仿宋_GB2312" w:hAnsi="仿宋_GB2312" w:eastAsia="仿宋_GB2312" w:cs="仿宋_GB2312"/>
          <w:b w:val="0"/>
          <w:bCs w:val="0"/>
          <w:i w:val="0"/>
          <w:caps w:val="0"/>
          <w:color w:val="000000"/>
          <w:spacing w:val="4"/>
          <w:w w:val="100"/>
          <w:kern w:val="2"/>
          <w:sz w:val="32"/>
          <w:szCs w:val="32"/>
          <w:highlight w:val="none"/>
          <w:u w:val="none" w:color="auto"/>
          <w:lang w:val="en-US" w:eastAsia="zh-CN" w:bidi="ar-SA"/>
        </w:rPr>
        <w:t>2025年，在自治区党委、政府的坚强领导和重视支持下，</w:t>
      </w:r>
      <w:r>
        <w:rPr>
          <w:rFonts w:hint="eastAsia" w:ascii="仿宋_GB2312" w:hAnsi="仿宋_GB2312" w:eastAsia="仿宋_GB2312" w:cs="仿宋_GB2312"/>
          <w:b w:val="0"/>
          <w:bCs w:val="0"/>
          <w:i w:val="0"/>
          <w:iCs w:val="0"/>
          <w:color w:val="auto"/>
          <w:spacing w:val="0"/>
          <w:sz w:val="32"/>
          <w:szCs w:val="32"/>
          <w:highlight w:val="none"/>
          <w:u w:val="none" w:color="auto"/>
          <w:lang w:val="en-US" w:eastAsia="zh-CN"/>
        </w:rPr>
        <w:t>突出核心功能，</w:t>
      </w:r>
      <w:r>
        <w:rPr>
          <w:rFonts w:hint="default" w:ascii="Times New Roman" w:hAnsi="Times New Roman" w:eastAsia="仿宋_GB2312" w:cs="Times New Roman"/>
          <w:color w:val="auto"/>
          <w:spacing w:val="0"/>
          <w:w w:val="100"/>
          <w:sz w:val="32"/>
          <w:szCs w:val="32"/>
          <w:highlight w:val="none"/>
          <w:u w:val="none" w:color="auto"/>
          <w:lang w:val="en-US" w:eastAsia="zh-CN"/>
        </w:rPr>
        <w:t>坚持调整存量、优化增量、主动减量，推动国有资本布局持续向“五大战略定位”聚焦</w:t>
      </w:r>
      <w:r>
        <w:rPr>
          <w:rFonts w:hint="eastAsia" w:ascii="仿宋_GB2312" w:hAnsi="仿宋_GB2312" w:eastAsia="仿宋_GB2312" w:cs="仿宋_GB2312"/>
          <w:color w:val="000000"/>
          <w:spacing w:val="4"/>
          <w:w w:val="100"/>
          <w:sz w:val="32"/>
          <w:szCs w:val="32"/>
          <w:highlight w:val="none"/>
          <w:u w:val="none" w:color="auto"/>
          <w:lang w:eastAsia="zh-CN"/>
        </w:rPr>
        <w:t>，</w:t>
      </w:r>
      <w:r>
        <w:rPr>
          <w:rFonts w:hint="eastAsia" w:ascii="仿宋_GB2312" w:hAnsi="仿宋_GB2312" w:cs="仿宋_GB2312"/>
          <w:color w:val="000000"/>
          <w:spacing w:val="4"/>
          <w:w w:val="100"/>
          <w:sz w:val="32"/>
          <w:szCs w:val="32"/>
          <w:highlight w:val="none"/>
          <w:u w:val="none" w:color="auto"/>
          <w:lang w:eastAsia="zh-CN"/>
        </w:rPr>
        <w:t>在</w:t>
      </w:r>
      <w:r>
        <w:rPr>
          <w:rFonts w:hint="default" w:ascii="Times New Roman" w:hAnsi="Times New Roman" w:eastAsia="仿宋_GB2312" w:cs="Times New Roman"/>
          <w:color w:val="000000"/>
          <w:spacing w:val="4"/>
          <w:w w:val="100"/>
          <w:sz w:val="32"/>
          <w:szCs w:val="32"/>
          <w:highlight w:val="none"/>
          <w:u w:val="none" w:color="auto"/>
          <w:lang w:eastAsia="zh-CN"/>
        </w:rPr>
        <w:t>强化国资监管等方面取得积极成效</w:t>
      </w:r>
      <w:r>
        <w:rPr>
          <w:rFonts w:hint="eastAsia" w:ascii="Times New Roman" w:hAnsi="Times New Roman" w:cs="Times New Roman"/>
          <w:color w:val="000000"/>
          <w:spacing w:val="4"/>
          <w:w w:val="100"/>
          <w:sz w:val="32"/>
          <w:szCs w:val="32"/>
          <w:highlight w:val="none"/>
          <w:u w:val="none" w:color="auto"/>
          <w:lang w:eastAsia="zh-CN"/>
        </w:rPr>
        <w:t>，</w:t>
      </w:r>
      <w:r>
        <w:rPr>
          <w:rFonts w:hint="eastAsia" w:ascii="仿宋_GB2312" w:hAnsi="仿宋_GB2312" w:eastAsia="仿宋_GB2312" w:cs="仿宋_GB2312"/>
          <w:b w:val="0"/>
          <w:bCs w:val="0"/>
          <w:strike w:val="0"/>
          <w:dstrike w:val="0"/>
          <w:color w:val="auto"/>
          <w:spacing w:val="0"/>
          <w:kern w:val="2"/>
          <w:sz w:val="32"/>
          <w:szCs w:val="32"/>
          <w:u w:val="none" w:color="auto"/>
          <w:lang w:val="en-US" w:eastAsia="zh-CN" w:bidi="ar-SA"/>
        </w:rPr>
        <w:t>实现了稳生产、稳经营、稳效益，</w:t>
      </w:r>
      <w:r>
        <w:rPr>
          <w:rFonts w:hint="eastAsia" w:ascii="仿宋_GB2312" w:hAnsi="仿宋_GB2312" w:cs="仿宋_GB2312"/>
          <w:b w:val="0"/>
          <w:bCs w:val="0"/>
          <w:strike w:val="0"/>
          <w:dstrike w:val="0"/>
          <w:color w:val="auto"/>
          <w:spacing w:val="0"/>
          <w:kern w:val="2"/>
          <w:sz w:val="32"/>
          <w:szCs w:val="32"/>
          <w:u w:val="none" w:color="auto"/>
          <w:lang w:val="en-US" w:eastAsia="zh-CN" w:bidi="ar-SA"/>
        </w:rPr>
        <w:t>经济运行稳中有进。</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24" w:firstLineChars="200"/>
        <w:textAlignment w:val="auto"/>
        <w:outlineLvl w:val="9"/>
        <w:rPr>
          <w:rStyle w:val="21"/>
          <w:rFonts w:hint="eastAsia" w:ascii="仿宋_GB2312" w:hAnsi="仿宋_GB2312" w:eastAsia="仿宋_GB2312" w:cs="仿宋_GB2312"/>
          <w:b w:val="0"/>
          <w:bCs/>
          <w:spacing w:val="-4"/>
          <w:sz w:val="32"/>
          <w:szCs w:val="32"/>
          <w:lang w:val="en-US" w:eastAsia="zh-CN"/>
        </w:rPr>
      </w:pPr>
      <w:r>
        <w:rPr>
          <w:rStyle w:val="21"/>
          <w:rFonts w:hint="eastAsia" w:ascii="仿宋_GB2312" w:hAnsi="仿宋_GB2312" w:eastAsia="仿宋_GB2312" w:cs="仿宋_GB2312"/>
          <w:b w:val="0"/>
          <w:bCs/>
          <w:spacing w:val="-4"/>
          <w:sz w:val="32"/>
          <w:szCs w:val="32"/>
          <w:lang w:val="en-US" w:eastAsia="zh-CN"/>
        </w:rPr>
        <w:t>一是组织专业力量编制《自治区国资委出资企业“十五五”发展规划纲要》，该项工作已于4月启动，截止目前已完成编制工作的70%，目前已完成《新疆维吾尔自治区国资国企“十五五”高质量发展规划》（征求意见稿）。</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24" w:firstLineChars="200"/>
        <w:textAlignment w:val="auto"/>
        <w:outlineLvl w:val="9"/>
        <w:rPr>
          <w:rStyle w:val="21"/>
          <w:rFonts w:hint="eastAsia" w:ascii="仿宋_GB2312" w:hAnsi="仿宋_GB2312" w:eastAsia="仿宋_GB2312" w:cs="仿宋_GB2312"/>
          <w:b w:val="0"/>
          <w:bCs/>
          <w:spacing w:val="-4"/>
          <w:sz w:val="32"/>
          <w:szCs w:val="32"/>
          <w:lang w:val="en-US" w:eastAsia="zh-CN"/>
        </w:rPr>
      </w:pPr>
      <w:r>
        <w:rPr>
          <w:rStyle w:val="21"/>
          <w:rFonts w:hint="eastAsia" w:ascii="仿宋_GB2312" w:hAnsi="仿宋_GB2312" w:eastAsia="仿宋_GB2312" w:cs="仿宋_GB2312"/>
          <w:b w:val="0"/>
          <w:bCs/>
          <w:spacing w:val="-4"/>
          <w:sz w:val="32"/>
          <w:szCs w:val="32"/>
          <w:lang w:val="en-US" w:eastAsia="zh-CN"/>
        </w:rPr>
        <w:t>二是认真贯彻落实中央及自治区党委、政府作出的重大部署，截止年末，区属国有企业净资产收益率0.7%，全员劳动生产率达到42.6万元/人。</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24" w:firstLineChars="200"/>
        <w:textAlignment w:val="auto"/>
        <w:outlineLvl w:val="9"/>
        <w:rPr>
          <w:rStyle w:val="21"/>
          <w:rFonts w:hint="eastAsia" w:ascii="仿宋_GB2312" w:hAnsi="仿宋_GB2312" w:eastAsia="仿宋_GB2312" w:cs="仿宋_GB2312"/>
          <w:b w:val="0"/>
          <w:bCs/>
          <w:spacing w:val="-4"/>
          <w:sz w:val="32"/>
          <w:szCs w:val="32"/>
          <w:lang w:val="en-US" w:eastAsia="zh-CN"/>
        </w:rPr>
      </w:pPr>
      <w:r>
        <w:rPr>
          <w:rStyle w:val="21"/>
          <w:rFonts w:hint="eastAsia" w:ascii="仿宋_GB2312" w:hAnsi="仿宋_GB2312" w:eastAsia="仿宋_GB2312" w:cs="仿宋_GB2312"/>
          <w:b w:val="0"/>
          <w:bCs/>
          <w:spacing w:val="-4"/>
          <w:sz w:val="32"/>
          <w:szCs w:val="32"/>
          <w:lang w:val="en-US" w:eastAsia="zh-CN"/>
        </w:rPr>
        <w:t>三是强化重大风险管理。完善全面风险管理体系，强化风险监测、预警、分析，尽早发现、有效处置风险隐患，不断提升有效防范化解各类重大风险的能力和水平，委托专业机构对18家区属国有企业开展防风险专项审计和财务监督检查，形成防风险专项报告。</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24" w:firstLineChars="200"/>
        <w:textAlignment w:val="auto"/>
        <w:outlineLvl w:val="9"/>
        <w:rPr>
          <w:rStyle w:val="21"/>
          <w:rFonts w:hint="eastAsia" w:ascii="仿宋_GB2312" w:hAnsi="仿宋_GB2312" w:eastAsia="仿宋_GB2312" w:cs="仿宋_GB2312"/>
          <w:b w:val="0"/>
          <w:bCs/>
          <w:spacing w:val="-4"/>
          <w:sz w:val="32"/>
          <w:szCs w:val="32"/>
          <w:lang w:val="en-US" w:eastAsia="zh-CN"/>
        </w:rPr>
      </w:pPr>
      <w:r>
        <w:rPr>
          <w:rStyle w:val="21"/>
          <w:rFonts w:hint="eastAsia" w:ascii="仿宋_GB2312" w:hAnsi="仿宋_GB2312" w:eastAsia="仿宋_GB2312" w:cs="仿宋_GB2312"/>
          <w:b w:val="0"/>
          <w:bCs/>
          <w:spacing w:val="-4"/>
          <w:sz w:val="32"/>
          <w:szCs w:val="32"/>
          <w:lang w:val="en-US" w:eastAsia="zh-CN"/>
        </w:rPr>
        <w:t>四是为全面贯彻落实国家发改委和自治区关于招标投标领域突出问题系统整治工作部署，按照《自治区国资委出资企业招标投标领域突出问题系统整治实施方案》安排，我委对出资企业招标投标领域突出问题系统整治指导检查，指导各地州市国资监管机构开展招标投标领域突出问题系统整治。</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24" w:firstLineChars="200"/>
        <w:textAlignment w:val="auto"/>
        <w:outlineLvl w:val="9"/>
        <w:rPr>
          <w:rStyle w:val="21"/>
          <w:rFonts w:hint="eastAsia" w:ascii="仿宋_GB2312" w:hAnsi="仿宋_GB2312" w:eastAsia="仿宋_GB2312" w:cs="仿宋_GB2312"/>
          <w:b w:val="0"/>
          <w:bCs/>
          <w:spacing w:val="-4"/>
          <w:sz w:val="32"/>
          <w:szCs w:val="32"/>
          <w:lang w:val="en-US" w:eastAsia="zh-CN"/>
        </w:rPr>
      </w:pPr>
      <w:r>
        <w:rPr>
          <w:rStyle w:val="21"/>
          <w:rFonts w:hint="eastAsia" w:ascii="仿宋_GB2312" w:hAnsi="仿宋_GB2312" w:eastAsia="仿宋_GB2312" w:cs="仿宋_GB2312"/>
          <w:b w:val="0"/>
          <w:bCs/>
          <w:spacing w:val="-4"/>
          <w:sz w:val="32"/>
          <w:szCs w:val="32"/>
          <w:lang w:val="en-US" w:eastAsia="zh-CN"/>
        </w:rPr>
        <w:t>五是通过持续开展各类业务培训、进一步完善国资委系统内控机制建设，提升外部董事专业化水平和履职能力，切实提高企业安全生产管理水平和处突应急能力。截止12月末，开展各类业务培训5期，完成全年目标任务100%。</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24" w:firstLineChars="200"/>
        <w:textAlignment w:val="auto"/>
        <w:outlineLvl w:val="9"/>
        <w:rPr>
          <w:rStyle w:val="21"/>
          <w:rFonts w:hint="eastAsia" w:ascii="仿宋_GB2312" w:hAnsi="仿宋_GB2312" w:eastAsia="仿宋_GB2312" w:cs="仿宋_GB2312"/>
          <w:b w:val="0"/>
          <w:bCs/>
          <w:spacing w:val="-4"/>
          <w:sz w:val="32"/>
          <w:szCs w:val="32"/>
          <w:lang w:val="en-US" w:eastAsia="zh-CN"/>
        </w:rPr>
      </w:pPr>
      <w:r>
        <w:rPr>
          <w:rStyle w:val="21"/>
          <w:rFonts w:hint="eastAsia" w:ascii="仿宋_GB2312" w:hAnsi="仿宋_GB2312" w:eastAsia="仿宋_GB2312" w:cs="仿宋_GB2312"/>
          <w:b w:val="0"/>
          <w:bCs/>
          <w:spacing w:val="-4"/>
          <w:sz w:val="32"/>
          <w:szCs w:val="32"/>
          <w:lang w:val="en-US" w:eastAsia="zh-CN"/>
        </w:rPr>
        <w:t>六是根据目前国资监管工作实际，结合过紧日子工作要求，经国资委党委研究决定，本年度聘请1家律师事务所作为法律顾问，不断加强法治化监管，充分发挥国资系统法务专家库和总法律顾问的作用，实现企业法务与经营管理深度融合，进一步防范化解企业法律风险。</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24" w:firstLineChars="200"/>
        <w:textAlignment w:val="auto"/>
        <w:outlineLvl w:val="9"/>
        <w:rPr>
          <w:rStyle w:val="21"/>
          <w:rFonts w:hint="eastAsia" w:ascii="仿宋_GB2312" w:hAnsi="仿宋_GB2312" w:eastAsia="仿宋_GB2312" w:cs="仿宋_GB2312"/>
          <w:b w:val="0"/>
          <w:bCs/>
          <w:spacing w:val="-4"/>
          <w:sz w:val="32"/>
          <w:szCs w:val="32"/>
          <w:lang w:val="en-US" w:eastAsia="zh-CN"/>
        </w:rPr>
      </w:pPr>
      <w:r>
        <w:rPr>
          <w:rStyle w:val="21"/>
          <w:rFonts w:hint="eastAsia" w:ascii="仿宋_GB2312" w:hAnsi="仿宋_GB2312" w:eastAsia="仿宋_GB2312" w:cs="仿宋_GB2312"/>
          <w:b w:val="0"/>
          <w:bCs/>
          <w:spacing w:val="-4"/>
          <w:sz w:val="32"/>
          <w:szCs w:val="32"/>
          <w:lang w:val="en-US" w:eastAsia="zh-CN"/>
        </w:rPr>
        <w:t>七是按照国务院国资委《企业国有资产评估管理暂行办法》（国务院国资委令第12号）要求，对出资企业资产评估项目进行评审，已完成评审项目20项。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26" w:firstLineChars="200"/>
        <w:textAlignment w:val="auto"/>
        <w:outlineLvl w:val="9"/>
        <w:rPr>
          <w:rStyle w:val="21"/>
          <w:rFonts w:hint="eastAsia" w:ascii="仿宋_GB2312" w:hAnsi="仿宋_GB2312" w:eastAsia="仿宋_GB2312" w:cs="仿宋_GB2312"/>
          <w:b/>
          <w:bCs w:val="0"/>
          <w:spacing w:val="-4"/>
          <w:sz w:val="32"/>
          <w:szCs w:val="32"/>
        </w:rPr>
      </w:pPr>
      <w:r>
        <w:rPr>
          <w:rStyle w:val="21"/>
          <w:rFonts w:hint="eastAsia" w:ascii="仿宋_GB2312" w:hAnsi="仿宋_GB2312" w:eastAsia="仿宋_GB2312" w:cs="仿宋_GB2312"/>
          <w:b/>
          <w:bCs w:val="0"/>
          <w:spacing w:val="-4"/>
          <w:sz w:val="32"/>
          <w:szCs w:val="32"/>
        </w:rPr>
        <w:t>3.资金投入和使用情况。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24" w:firstLineChars="200"/>
        <w:textAlignment w:val="auto"/>
        <w:outlineLvl w:val="9"/>
        <w:rPr>
          <w:rStyle w:val="21"/>
          <w:rFonts w:hint="eastAsia" w:ascii="仿宋_GB2312" w:hAnsi="仿宋_GB2312" w:eastAsia="仿宋_GB2312" w:cs="仿宋_GB2312"/>
          <w:b w:val="0"/>
          <w:bCs/>
          <w:spacing w:val="-4"/>
          <w:sz w:val="32"/>
          <w:szCs w:val="32"/>
        </w:rPr>
      </w:pPr>
      <w:r>
        <w:rPr>
          <w:rStyle w:val="21"/>
          <w:rFonts w:hint="eastAsia" w:ascii="仿宋_GB2312" w:hAnsi="仿宋_GB2312" w:eastAsia="仿宋_GB2312" w:cs="仿宋_GB2312"/>
          <w:b w:val="0"/>
          <w:bCs/>
          <w:spacing w:val="-4"/>
          <w:sz w:val="32"/>
          <w:szCs w:val="32"/>
        </w:rPr>
        <w:t>根据自治区财政厅《关于批复自治区本级202</w:t>
      </w:r>
      <w:r>
        <w:rPr>
          <w:rStyle w:val="21"/>
          <w:rFonts w:hint="eastAsia" w:ascii="仿宋_GB2312" w:hAnsi="仿宋_GB2312" w:eastAsia="仿宋_GB2312" w:cs="仿宋_GB2312"/>
          <w:b w:val="0"/>
          <w:bCs/>
          <w:spacing w:val="-4"/>
          <w:sz w:val="32"/>
          <w:szCs w:val="32"/>
          <w:lang w:val="en-US" w:eastAsia="zh-CN"/>
        </w:rPr>
        <w:t>5</w:t>
      </w:r>
      <w:r>
        <w:rPr>
          <w:rStyle w:val="21"/>
          <w:rFonts w:hint="eastAsia" w:ascii="仿宋_GB2312" w:hAnsi="仿宋_GB2312" w:eastAsia="仿宋_GB2312" w:cs="仿宋_GB2312"/>
          <w:b w:val="0"/>
          <w:bCs/>
          <w:spacing w:val="-4"/>
          <w:sz w:val="32"/>
          <w:szCs w:val="32"/>
        </w:rPr>
        <w:t>年部门预算的通知》（新财预〔202</w:t>
      </w:r>
      <w:r>
        <w:rPr>
          <w:rStyle w:val="21"/>
          <w:rFonts w:hint="eastAsia" w:ascii="仿宋_GB2312" w:hAnsi="仿宋_GB2312" w:eastAsia="仿宋_GB2312" w:cs="仿宋_GB2312"/>
          <w:b w:val="0"/>
          <w:bCs/>
          <w:spacing w:val="-4"/>
          <w:sz w:val="32"/>
          <w:szCs w:val="32"/>
          <w:lang w:val="en-US" w:eastAsia="zh-CN"/>
        </w:rPr>
        <w:t>5</w:t>
      </w:r>
      <w:r>
        <w:rPr>
          <w:rStyle w:val="21"/>
          <w:rFonts w:hint="eastAsia" w:ascii="仿宋_GB2312" w:hAnsi="仿宋_GB2312" w:eastAsia="仿宋_GB2312" w:cs="仿宋_GB2312"/>
          <w:b w:val="0"/>
          <w:bCs/>
          <w:spacing w:val="-4"/>
          <w:sz w:val="32"/>
          <w:szCs w:val="32"/>
        </w:rPr>
        <w:t>〕1号）的批复情况，我委202</w:t>
      </w:r>
      <w:r>
        <w:rPr>
          <w:rStyle w:val="21"/>
          <w:rFonts w:hint="eastAsia" w:ascii="仿宋_GB2312" w:hAnsi="仿宋_GB2312" w:eastAsia="仿宋_GB2312" w:cs="仿宋_GB2312"/>
          <w:b w:val="0"/>
          <w:bCs/>
          <w:spacing w:val="-4"/>
          <w:sz w:val="32"/>
          <w:szCs w:val="32"/>
          <w:lang w:val="en-US" w:eastAsia="zh-CN"/>
        </w:rPr>
        <w:t>5</w:t>
      </w:r>
      <w:r>
        <w:rPr>
          <w:rStyle w:val="21"/>
          <w:rFonts w:hint="eastAsia" w:ascii="仿宋_GB2312" w:hAnsi="仿宋_GB2312" w:eastAsia="仿宋_GB2312" w:cs="仿宋_GB2312"/>
          <w:b w:val="0"/>
          <w:bCs/>
          <w:spacing w:val="-4"/>
          <w:sz w:val="32"/>
          <w:szCs w:val="32"/>
        </w:rPr>
        <w:t>年度延续性项目1项，项目性质专项业务费，全年预算3</w:t>
      </w:r>
      <w:r>
        <w:rPr>
          <w:rStyle w:val="21"/>
          <w:rFonts w:hint="eastAsia" w:ascii="仿宋_GB2312" w:hAnsi="仿宋_GB2312" w:eastAsia="仿宋_GB2312" w:cs="仿宋_GB2312"/>
          <w:b w:val="0"/>
          <w:bCs/>
          <w:spacing w:val="-4"/>
          <w:sz w:val="32"/>
          <w:szCs w:val="32"/>
          <w:lang w:val="en-US" w:eastAsia="zh-CN"/>
        </w:rPr>
        <w:t>8</w:t>
      </w:r>
      <w:r>
        <w:rPr>
          <w:rStyle w:val="21"/>
          <w:rFonts w:hint="eastAsia" w:ascii="仿宋_GB2312" w:hAnsi="仿宋_GB2312" w:eastAsia="仿宋_GB2312" w:cs="仿宋_GB2312"/>
          <w:b w:val="0"/>
          <w:bCs/>
          <w:spacing w:val="-4"/>
          <w:sz w:val="32"/>
          <w:szCs w:val="32"/>
        </w:rPr>
        <w:t>1万元。其中：一般公共预算财政拨款3</w:t>
      </w:r>
      <w:r>
        <w:rPr>
          <w:rStyle w:val="21"/>
          <w:rFonts w:hint="eastAsia" w:ascii="仿宋_GB2312" w:hAnsi="仿宋_GB2312" w:eastAsia="仿宋_GB2312" w:cs="仿宋_GB2312"/>
          <w:b w:val="0"/>
          <w:bCs/>
          <w:spacing w:val="-4"/>
          <w:sz w:val="32"/>
          <w:szCs w:val="32"/>
          <w:lang w:val="en-US" w:eastAsia="zh-CN"/>
        </w:rPr>
        <w:t>8</w:t>
      </w:r>
      <w:r>
        <w:rPr>
          <w:rStyle w:val="21"/>
          <w:rFonts w:hint="eastAsia" w:ascii="仿宋_GB2312" w:hAnsi="仿宋_GB2312" w:eastAsia="仿宋_GB2312" w:cs="仿宋_GB2312"/>
          <w:b w:val="0"/>
          <w:bCs/>
          <w:spacing w:val="-4"/>
          <w:sz w:val="32"/>
          <w:szCs w:val="32"/>
        </w:rPr>
        <w:t>0万元，其他资金1万元。根据年终决算情况，此项目全年总投入</w:t>
      </w:r>
      <w:r>
        <w:rPr>
          <w:rStyle w:val="21"/>
          <w:rFonts w:hint="eastAsia" w:ascii="仿宋_GB2312" w:hAnsi="仿宋_GB2312" w:eastAsia="仿宋_GB2312" w:cs="仿宋_GB2312"/>
          <w:b w:val="0"/>
          <w:bCs/>
          <w:spacing w:val="-4"/>
          <w:sz w:val="32"/>
          <w:szCs w:val="32"/>
          <w:lang w:val="en-US" w:eastAsia="zh-CN"/>
        </w:rPr>
        <w:t>307.12</w:t>
      </w:r>
      <w:r>
        <w:rPr>
          <w:rStyle w:val="21"/>
          <w:rFonts w:hint="eastAsia" w:ascii="仿宋_GB2312" w:hAnsi="仿宋_GB2312" w:eastAsia="仿宋_GB2312" w:cs="仿宋_GB2312"/>
          <w:b w:val="0"/>
          <w:bCs/>
          <w:spacing w:val="-4"/>
          <w:sz w:val="32"/>
          <w:szCs w:val="32"/>
        </w:rPr>
        <w:t>万元，均为一般公共预算财政拨款资金，年中无追加资金，资金到位率100%。</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202</w:t>
      </w:r>
      <w:r>
        <w:rPr>
          <w:rStyle w:val="21"/>
          <w:rFonts w:hint="eastAsia" w:ascii="仿宋_GB2312" w:hAnsi="仿宋_GB2312" w:eastAsia="仿宋_GB2312" w:cs="仿宋_GB2312"/>
          <w:b w:val="0"/>
          <w:bCs/>
          <w:spacing w:val="-4"/>
          <w:sz w:val="32"/>
          <w:szCs w:val="32"/>
          <w:lang w:val="en-US" w:eastAsia="zh-CN"/>
        </w:rPr>
        <w:t>5</w:t>
      </w:r>
      <w:r>
        <w:rPr>
          <w:rStyle w:val="21"/>
          <w:rFonts w:hint="eastAsia" w:ascii="仿宋_GB2312" w:hAnsi="仿宋_GB2312" w:eastAsia="仿宋_GB2312" w:cs="仿宋_GB2312"/>
          <w:b w:val="0"/>
          <w:bCs/>
          <w:spacing w:val="-4"/>
          <w:sz w:val="32"/>
          <w:szCs w:val="32"/>
        </w:rPr>
        <w:t>年项目资金使用</w:t>
      </w:r>
      <w:r>
        <w:rPr>
          <w:rStyle w:val="21"/>
          <w:rFonts w:hint="eastAsia" w:ascii="仿宋_GB2312" w:hAnsi="仿宋_GB2312" w:eastAsia="仿宋_GB2312" w:cs="仿宋_GB2312"/>
          <w:b w:val="0"/>
          <w:bCs/>
          <w:spacing w:val="-4"/>
          <w:sz w:val="32"/>
          <w:szCs w:val="32"/>
          <w:lang w:val="en-US" w:eastAsia="zh-CN"/>
        </w:rPr>
        <w:t>307.12</w:t>
      </w:r>
      <w:r>
        <w:rPr>
          <w:rStyle w:val="21"/>
          <w:rFonts w:hint="eastAsia" w:ascii="仿宋_GB2312" w:hAnsi="仿宋_GB2312" w:eastAsia="仿宋_GB2312" w:cs="仿宋_GB2312"/>
          <w:b w:val="0"/>
          <w:bCs/>
          <w:spacing w:val="-4"/>
          <w:sz w:val="32"/>
          <w:szCs w:val="32"/>
        </w:rPr>
        <w:t>万元，预算执行率</w:t>
      </w:r>
      <w:r>
        <w:rPr>
          <w:rStyle w:val="21"/>
          <w:rFonts w:hint="eastAsia" w:ascii="仿宋_GB2312" w:hAnsi="仿宋_GB2312" w:eastAsia="仿宋_GB2312" w:cs="仿宋_GB2312"/>
          <w:b w:val="0"/>
          <w:bCs/>
          <w:spacing w:val="-4"/>
          <w:sz w:val="32"/>
          <w:szCs w:val="32"/>
          <w:lang w:val="en-US" w:eastAsia="zh-CN"/>
        </w:rPr>
        <w:t>80.61</w:t>
      </w:r>
      <w:r>
        <w:rPr>
          <w:rStyle w:val="21"/>
          <w:rFonts w:hint="eastAsia" w:ascii="仿宋_GB2312" w:hAnsi="仿宋_GB2312" w:eastAsia="仿宋_GB2312" w:cs="仿宋_GB2312"/>
          <w:b w:val="0"/>
          <w:bCs/>
          <w:spacing w:val="-4"/>
          <w:sz w:val="32"/>
          <w:szCs w:val="32"/>
        </w:rPr>
        <w:t>%。项目支出范围主要包括:办公经费</w:t>
      </w:r>
      <w:r>
        <w:rPr>
          <w:rStyle w:val="21"/>
          <w:rFonts w:hint="eastAsia" w:ascii="仿宋_GB2312" w:hAnsi="仿宋_GB2312" w:eastAsia="仿宋_GB2312" w:cs="仿宋_GB2312"/>
          <w:b w:val="0"/>
          <w:bCs/>
          <w:spacing w:val="-4"/>
          <w:sz w:val="32"/>
          <w:szCs w:val="32"/>
          <w:lang w:val="en-US" w:eastAsia="zh-CN"/>
        </w:rPr>
        <w:t>23.23</w:t>
      </w:r>
      <w:r>
        <w:rPr>
          <w:rStyle w:val="21"/>
          <w:rFonts w:hint="eastAsia" w:ascii="仿宋_GB2312" w:hAnsi="仿宋_GB2312" w:eastAsia="仿宋_GB2312" w:cs="仿宋_GB2312"/>
          <w:b w:val="0"/>
          <w:bCs/>
          <w:spacing w:val="-4"/>
          <w:sz w:val="32"/>
          <w:szCs w:val="32"/>
        </w:rPr>
        <w:t>万元、邮电费</w:t>
      </w:r>
      <w:r>
        <w:rPr>
          <w:rStyle w:val="21"/>
          <w:rFonts w:hint="eastAsia" w:ascii="仿宋_GB2312" w:hAnsi="仿宋_GB2312" w:eastAsia="仿宋_GB2312" w:cs="仿宋_GB2312"/>
          <w:b w:val="0"/>
          <w:bCs/>
          <w:spacing w:val="-4"/>
          <w:sz w:val="32"/>
          <w:szCs w:val="32"/>
          <w:lang w:val="en-US" w:eastAsia="zh-CN"/>
        </w:rPr>
        <w:t>1.08</w:t>
      </w:r>
      <w:r>
        <w:rPr>
          <w:rStyle w:val="21"/>
          <w:rFonts w:hint="eastAsia" w:ascii="仿宋_GB2312" w:hAnsi="仿宋_GB2312" w:eastAsia="仿宋_GB2312" w:cs="仿宋_GB2312"/>
          <w:b w:val="0"/>
          <w:bCs/>
          <w:spacing w:val="-4"/>
          <w:sz w:val="32"/>
          <w:szCs w:val="32"/>
        </w:rPr>
        <w:t>万元、差旅费</w:t>
      </w:r>
      <w:r>
        <w:rPr>
          <w:rStyle w:val="21"/>
          <w:rFonts w:hint="eastAsia" w:ascii="仿宋_GB2312" w:hAnsi="仿宋_GB2312" w:eastAsia="仿宋_GB2312" w:cs="仿宋_GB2312"/>
          <w:b w:val="0"/>
          <w:bCs/>
          <w:spacing w:val="-4"/>
          <w:sz w:val="32"/>
          <w:szCs w:val="32"/>
          <w:lang w:val="en-US" w:eastAsia="zh-CN"/>
        </w:rPr>
        <w:t>101.6</w:t>
      </w:r>
      <w:r>
        <w:rPr>
          <w:rStyle w:val="21"/>
          <w:rFonts w:hint="eastAsia" w:ascii="仿宋_GB2312" w:hAnsi="仿宋_GB2312" w:eastAsia="仿宋_GB2312" w:cs="仿宋_GB2312"/>
          <w:b w:val="0"/>
          <w:bCs/>
          <w:spacing w:val="-4"/>
          <w:sz w:val="32"/>
          <w:szCs w:val="32"/>
        </w:rPr>
        <w:t>万元、</w:t>
      </w:r>
      <w:r>
        <w:rPr>
          <w:rStyle w:val="21"/>
          <w:rFonts w:hint="eastAsia" w:ascii="仿宋_GB2312" w:hAnsi="仿宋_GB2312" w:eastAsia="仿宋_GB2312" w:cs="仿宋_GB2312"/>
          <w:b w:val="0"/>
          <w:bCs/>
          <w:spacing w:val="-4"/>
          <w:sz w:val="32"/>
          <w:szCs w:val="32"/>
          <w:lang w:eastAsia="zh-CN"/>
        </w:rPr>
        <w:t>因公出国（境）费</w:t>
      </w:r>
      <w:r>
        <w:rPr>
          <w:rStyle w:val="21"/>
          <w:rFonts w:hint="eastAsia" w:ascii="仿宋_GB2312" w:hAnsi="仿宋_GB2312" w:eastAsia="仿宋_GB2312" w:cs="仿宋_GB2312"/>
          <w:b w:val="0"/>
          <w:bCs/>
          <w:spacing w:val="-4"/>
          <w:sz w:val="32"/>
          <w:szCs w:val="32"/>
          <w:lang w:val="en-US" w:eastAsia="zh-CN"/>
        </w:rPr>
        <w:t>0.93万元、</w:t>
      </w:r>
      <w:r>
        <w:rPr>
          <w:rStyle w:val="21"/>
          <w:rFonts w:hint="eastAsia" w:ascii="仿宋_GB2312" w:hAnsi="仿宋_GB2312" w:eastAsia="仿宋_GB2312" w:cs="仿宋_GB2312"/>
          <w:b w:val="0"/>
          <w:bCs/>
          <w:spacing w:val="-4"/>
          <w:sz w:val="32"/>
          <w:szCs w:val="32"/>
          <w:lang w:eastAsia="zh-CN"/>
        </w:rPr>
        <w:t>维修（护）费</w:t>
      </w:r>
      <w:r>
        <w:rPr>
          <w:rStyle w:val="21"/>
          <w:rFonts w:hint="eastAsia" w:ascii="仿宋_GB2312" w:hAnsi="仿宋_GB2312" w:eastAsia="仿宋_GB2312" w:cs="仿宋_GB2312"/>
          <w:b w:val="0"/>
          <w:bCs/>
          <w:spacing w:val="-4"/>
          <w:sz w:val="32"/>
          <w:szCs w:val="32"/>
          <w:lang w:val="en-US" w:eastAsia="zh-CN"/>
        </w:rPr>
        <w:t>15.3万元、租赁费2.56万元、</w:t>
      </w:r>
      <w:r>
        <w:rPr>
          <w:rStyle w:val="21"/>
          <w:rFonts w:hint="eastAsia" w:ascii="仿宋_GB2312" w:hAnsi="仿宋_GB2312" w:eastAsia="仿宋_GB2312" w:cs="仿宋_GB2312"/>
          <w:b w:val="0"/>
          <w:bCs/>
          <w:spacing w:val="-4"/>
          <w:sz w:val="32"/>
          <w:szCs w:val="32"/>
        </w:rPr>
        <w:t>会议费</w:t>
      </w:r>
      <w:r>
        <w:rPr>
          <w:rStyle w:val="21"/>
          <w:rFonts w:hint="eastAsia" w:ascii="仿宋_GB2312" w:hAnsi="仿宋_GB2312" w:eastAsia="仿宋_GB2312" w:cs="仿宋_GB2312"/>
          <w:b w:val="0"/>
          <w:bCs/>
          <w:spacing w:val="-4"/>
          <w:sz w:val="32"/>
          <w:szCs w:val="32"/>
          <w:lang w:val="en-US" w:eastAsia="zh-CN"/>
        </w:rPr>
        <w:t>4.33</w:t>
      </w:r>
      <w:r>
        <w:rPr>
          <w:rStyle w:val="21"/>
          <w:rFonts w:hint="eastAsia" w:ascii="仿宋_GB2312" w:hAnsi="仿宋_GB2312" w:eastAsia="仿宋_GB2312" w:cs="仿宋_GB2312"/>
          <w:b w:val="0"/>
          <w:bCs/>
          <w:spacing w:val="-4"/>
          <w:sz w:val="32"/>
          <w:szCs w:val="32"/>
        </w:rPr>
        <w:t>万元、培训费</w:t>
      </w:r>
      <w:r>
        <w:rPr>
          <w:rStyle w:val="21"/>
          <w:rFonts w:hint="eastAsia" w:ascii="仿宋_GB2312" w:hAnsi="仿宋_GB2312" w:eastAsia="仿宋_GB2312" w:cs="仿宋_GB2312"/>
          <w:b w:val="0"/>
          <w:bCs/>
          <w:spacing w:val="-4"/>
          <w:sz w:val="32"/>
          <w:szCs w:val="32"/>
          <w:lang w:val="en-US" w:eastAsia="zh-CN"/>
        </w:rPr>
        <w:t>92.17</w:t>
      </w:r>
      <w:r>
        <w:rPr>
          <w:rStyle w:val="21"/>
          <w:rFonts w:hint="eastAsia" w:ascii="仿宋_GB2312" w:hAnsi="仿宋_GB2312" w:eastAsia="仿宋_GB2312" w:cs="仿宋_GB2312"/>
          <w:b w:val="0"/>
          <w:bCs/>
          <w:spacing w:val="-4"/>
          <w:sz w:val="32"/>
          <w:szCs w:val="32"/>
        </w:rPr>
        <w:t>万元，</w:t>
      </w:r>
      <w:r>
        <w:rPr>
          <w:rStyle w:val="21"/>
          <w:rFonts w:hint="eastAsia" w:ascii="仿宋_GB2312" w:hAnsi="仿宋_GB2312" w:eastAsia="仿宋_GB2312" w:cs="仿宋_GB2312"/>
          <w:b w:val="0"/>
          <w:bCs/>
          <w:spacing w:val="-4"/>
          <w:sz w:val="32"/>
          <w:szCs w:val="32"/>
          <w:lang w:eastAsia="zh-CN"/>
        </w:rPr>
        <w:t>劳务费</w:t>
      </w:r>
      <w:r>
        <w:rPr>
          <w:rStyle w:val="21"/>
          <w:rFonts w:hint="eastAsia" w:ascii="仿宋_GB2312" w:hAnsi="仿宋_GB2312" w:eastAsia="仿宋_GB2312" w:cs="仿宋_GB2312"/>
          <w:b w:val="0"/>
          <w:bCs/>
          <w:spacing w:val="-4"/>
          <w:sz w:val="32"/>
          <w:szCs w:val="32"/>
          <w:lang w:val="en-US" w:eastAsia="zh-CN"/>
        </w:rPr>
        <w:t>21.03万元、</w:t>
      </w:r>
      <w:r>
        <w:rPr>
          <w:rStyle w:val="21"/>
          <w:rFonts w:hint="eastAsia" w:ascii="仿宋_GB2312" w:hAnsi="仿宋_GB2312" w:eastAsia="仿宋_GB2312" w:cs="仿宋_GB2312"/>
          <w:b w:val="0"/>
          <w:bCs/>
          <w:spacing w:val="-4"/>
          <w:sz w:val="32"/>
          <w:szCs w:val="32"/>
        </w:rPr>
        <w:t>委托业务费</w:t>
      </w:r>
      <w:r>
        <w:rPr>
          <w:rStyle w:val="21"/>
          <w:rFonts w:hint="eastAsia" w:ascii="仿宋_GB2312" w:hAnsi="仿宋_GB2312" w:eastAsia="仿宋_GB2312" w:cs="仿宋_GB2312"/>
          <w:b w:val="0"/>
          <w:bCs/>
          <w:spacing w:val="-4"/>
          <w:sz w:val="32"/>
          <w:szCs w:val="32"/>
          <w:lang w:val="en-US" w:eastAsia="zh-CN"/>
        </w:rPr>
        <w:t>25.25</w:t>
      </w:r>
      <w:r>
        <w:rPr>
          <w:rStyle w:val="21"/>
          <w:rFonts w:hint="eastAsia" w:ascii="仿宋_GB2312" w:hAnsi="仿宋_GB2312" w:eastAsia="仿宋_GB2312" w:cs="仿宋_GB2312"/>
          <w:b w:val="0"/>
          <w:bCs/>
          <w:spacing w:val="-4"/>
          <w:sz w:val="32"/>
          <w:szCs w:val="32"/>
        </w:rPr>
        <w:t>万元、办公设备购置费</w:t>
      </w:r>
      <w:r>
        <w:rPr>
          <w:rStyle w:val="21"/>
          <w:rFonts w:hint="eastAsia" w:ascii="仿宋_GB2312" w:hAnsi="仿宋_GB2312" w:eastAsia="仿宋_GB2312" w:cs="仿宋_GB2312"/>
          <w:b w:val="0"/>
          <w:bCs/>
          <w:spacing w:val="-4"/>
          <w:sz w:val="32"/>
          <w:szCs w:val="32"/>
          <w:lang w:val="en-US" w:eastAsia="zh-CN"/>
        </w:rPr>
        <w:t>19.64</w:t>
      </w:r>
      <w:r>
        <w:rPr>
          <w:rStyle w:val="21"/>
          <w:rFonts w:hint="eastAsia" w:ascii="仿宋_GB2312" w:hAnsi="仿宋_GB2312" w:eastAsia="仿宋_GB2312" w:cs="仿宋_GB2312"/>
          <w:b w:val="0"/>
          <w:bCs/>
          <w:spacing w:val="-4"/>
          <w:sz w:val="32"/>
          <w:szCs w:val="32"/>
        </w:rPr>
        <w:t>万元。</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564" w:firstLineChars="181"/>
        <w:textAlignment w:val="auto"/>
        <w:outlineLvl w:val="9"/>
        <w:rPr>
          <w:rStyle w:val="21"/>
          <w:rFonts w:hint="eastAsia" w:ascii="楷体_GB2312" w:hAnsi="楷体_GB2312" w:eastAsia="楷体_GB2312" w:cs="楷体_GB2312"/>
          <w:b w:val="0"/>
          <w:bCs/>
          <w:spacing w:val="-4"/>
          <w:sz w:val="32"/>
          <w:szCs w:val="32"/>
        </w:rPr>
      </w:pPr>
      <w:r>
        <w:rPr>
          <w:rStyle w:val="21"/>
          <w:rFonts w:hint="eastAsia" w:ascii="楷体_GB2312" w:hAnsi="楷体_GB2312" w:eastAsia="楷体_GB2312" w:cs="楷体_GB2312"/>
          <w:b w:val="0"/>
          <w:bCs/>
          <w:spacing w:val="-4"/>
          <w:sz w:val="32"/>
          <w:szCs w:val="32"/>
        </w:rPr>
        <w:t>（二）项目绩效目标。包括总体目标和阶段性目标。</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567"/>
        <w:textAlignment w:val="auto"/>
        <w:outlineLvl w:val="9"/>
        <w:rPr>
          <w:rStyle w:val="21"/>
          <w:rFonts w:hint="eastAsia" w:ascii="仿宋_GB2312" w:hAnsi="仿宋_GB2312" w:eastAsia="仿宋_GB2312" w:cs="仿宋_GB2312"/>
          <w:b w:val="0"/>
          <w:bCs/>
          <w:spacing w:val="-4"/>
          <w:sz w:val="32"/>
          <w:szCs w:val="32"/>
        </w:rPr>
      </w:pPr>
      <w:r>
        <w:rPr>
          <w:rStyle w:val="21"/>
          <w:rFonts w:hint="eastAsia" w:ascii="仿宋_GB2312" w:hAnsi="仿宋_GB2312" w:eastAsia="仿宋_GB2312" w:cs="仿宋_GB2312"/>
          <w:b w:val="0"/>
          <w:bCs/>
          <w:spacing w:val="-4"/>
          <w:sz w:val="32"/>
          <w:szCs w:val="32"/>
        </w:rPr>
        <w:t>总体目标：根据《自治区党委办公厅、自治区人民政府办公厅关于印发﹤新疆维吾尔自治区国有资产监督管理委员会职能配置、内设机构和人员编制规定﹥的通知》（新党厅字〔2018〕166号）的职责要求，围绕“做强做优做大国有资本和国有企业”这个目标，做好各项国资监管业务工作，保障国有资产保值增值。</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rPr>
        <w:t xml:space="preserve">    阶段性目标：</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 xml:space="preserve">1.强化体系化监管，以巡视审计整改为切入点，推动出资人监督、财会监督等各类监督贯通协调，加强对企业整体性、综合性、立体化的研判和精准指导，提升国资监管效能。 </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 xml:space="preserve">2.加强法治化监管。建立健全国资监管法规体系和工作体系，全面推进企业合规管理体系建设和制度建设，充分发挥国资系统法务专家库和总法律顾问的作用，实现企业法务与经营管理深度融合，进一步防范化解企业法律风险。 </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 xml:space="preserve">3.强化重大风险管理。完善全面风险管理体系，聚焦债务、金融、投资等重点领域，强化风险监测、预警、分析，尽早发现、有效处置风险隐患，不断提升有效防范化解各类重大风险的能力和水平，牢牢守住不发生重大风险的底线。 </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4.认真贯彻落实中央及自治区党委、政府作出的重大部署，力争到202</w:t>
      </w:r>
      <w:r>
        <w:rPr>
          <w:rStyle w:val="21"/>
          <w:rFonts w:hint="eastAsia" w:ascii="仿宋_GB2312" w:hAnsi="仿宋_GB2312" w:eastAsia="仿宋_GB2312" w:cs="仿宋_GB2312"/>
          <w:b w:val="0"/>
          <w:bCs/>
          <w:spacing w:val="-4"/>
          <w:sz w:val="32"/>
          <w:szCs w:val="32"/>
          <w:lang w:val="en-US" w:eastAsia="zh-CN"/>
        </w:rPr>
        <w:t>5</w:t>
      </w:r>
      <w:r>
        <w:rPr>
          <w:rStyle w:val="21"/>
          <w:rFonts w:hint="eastAsia" w:ascii="仿宋_GB2312" w:hAnsi="仿宋_GB2312" w:eastAsia="仿宋_GB2312" w:cs="仿宋_GB2312"/>
          <w:b w:val="0"/>
          <w:bCs/>
          <w:spacing w:val="-4"/>
          <w:sz w:val="32"/>
          <w:szCs w:val="32"/>
        </w:rPr>
        <w:t xml:space="preserve">年末，监管企业净资产收益率有所增长，确保监管企业国有资本保值增值不低于100%。 </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 xml:space="preserve">5.依据国务院国资委《企业国有资产评估管理暂行办法》（国务院国资委令第12号），守成当年国资委监管企业国有资产评估立案、备案、专家评审事宜。同时加强对企业国有资产评估工作的监督检查，特别是企业内部国有资产评估管理制度的建立情况、执行情况和评估管理人员配备情况，定期或者不定期地对资产评估项目进行抽查。 </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6.通过持续开展务类业务培训、进一步完善国资委系统内控机制建设，提升外部董事专业化水平和履职能力，切实提高企业安全生产管理水平和处突应急能力。</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textAlignment w:val="auto"/>
        <w:outlineLvl w:val="9"/>
        <w:rPr>
          <w:rStyle w:val="21"/>
          <w:rFonts w:hint="eastAsia" w:ascii="黑体" w:hAnsi="黑体" w:eastAsia="黑体" w:cs="黑体"/>
          <w:b w:val="0"/>
          <w:bCs/>
          <w:spacing w:val="-4"/>
          <w:sz w:val="32"/>
          <w:szCs w:val="32"/>
        </w:rPr>
      </w:pPr>
      <w:r>
        <w:rPr>
          <w:rStyle w:val="21"/>
          <w:rFonts w:hint="eastAsia" w:ascii="黑体" w:hAnsi="黑体" w:eastAsia="黑体" w:cs="黑体"/>
          <w:b w:val="0"/>
          <w:bCs/>
          <w:spacing w:val="-4"/>
          <w:sz w:val="32"/>
          <w:szCs w:val="32"/>
        </w:rPr>
        <w:t>二、绩效评价工作开展情况</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564" w:firstLineChars="181"/>
        <w:textAlignment w:val="auto"/>
        <w:outlineLvl w:val="9"/>
        <w:rPr>
          <w:rStyle w:val="21"/>
          <w:rFonts w:hint="eastAsia" w:ascii="楷体_GB2312" w:hAnsi="楷体_GB2312" w:eastAsia="楷体_GB2312" w:cs="楷体_GB2312"/>
          <w:b w:val="0"/>
          <w:bCs/>
          <w:spacing w:val="-4"/>
          <w:sz w:val="32"/>
          <w:szCs w:val="32"/>
        </w:rPr>
      </w:pPr>
      <w:r>
        <w:rPr>
          <w:rStyle w:val="21"/>
          <w:rFonts w:hint="eastAsia" w:ascii="楷体_GB2312" w:hAnsi="楷体_GB2312" w:eastAsia="楷体_GB2312" w:cs="楷体_GB2312"/>
          <w:b w:val="0"/>
          <w:bCs/>
          <w:spacing w:val="-4"/>
          <w:sz w:val="32"/>
          <w:szCs w:val="32"/>
        </w:rPr>
        <w:t>（一）绩效评价目的、对象和范围。</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567"/>
        <w:textAlignment w:val="auto"/>
        <w:outlineLvl w:val="9"/>
        <w:rPr>
          <w:rStyle w:val="21"/>
          <w:rFonts w:hint="eastAsia" w:ascii="仿宋_GB2312" w:hAnsi="仿宋_GB2312" w:eastAsia="仿宋_GB2312" w:cs="仿宋_GB2312"/>
          <w:b w:val="0"/>
          <w:bCs/>
          <w:spacing w:val="-4"/>
          <w:sz w:val="32"/>
          <w:szCs w:val="32"/>
        </w:rPr>
      </w:pPr>
      <w:r>
        <w:rPr>
          <w:rStyle w:val="21"/>
          <w:rFonts w:hint="eastAsia" w:ascii="仿宋_GB2312" w:hAnsi="仿宋_GB2312" w:eastAsia="仿宋_GB2312" w:cs="仿宋_GB2312"/>
          <w:b/>
          <w:bCs w:val="0"/>
          <w:spacing w:val="-4"/>
          <w:sz w:val="32"/>
          <w:szCs w:val="32"/>
          <w:lang w:val="en-US" w:eastAsia="zh-CN"/>
        </w:rPr>
        <w:t>1.绩效</w:t>
      </w:r>
      <w:r>
        <w:rPr>
          <w:rStyle w:val="21"/>
          <w:rFonts w:hint="eastAsia" w:ascii="仿宋_GB2312" w:hAnsi="仿宋_GB2312" w:eastAsia="仿宋_GB2312" w:cs="仿宋_GB2312"/>
          <w:b/>
          <w:bCs w:val="0"/>
          <w:spacing w:val="-4"/>
          <w:sz w:val="32"/>
          <w:szCs w:val="32"/>
        </w:rPr>
        <w:t>评价目的</w:t>
      </w:r>
      <w:r>
        <w:rPr>
          <w:rStyle w:val="21"/>
          <w:rFonts w:hint="eastAsia" w:ascii="仿宋_GB2312" w:hAnsi="仿宋_GB2312" w:eastAsia="仿宋_GB2312" w:cs="仿宋_GB2312"/>
          <w:b/>
          <w:bCs w:val="0"/>
          <w:spacing w:val="-4"/>
          <w:sz w:val="32"/>
          <w:szCs w:val="32"/>
          <w:lang w:eastAsia="zh-CN"/>
        </w:rPr>
        <w:t>：</w:t>
      </w:r>
      <w:r>
        <w:rPr>
          <w:rStyle w:val="21"/>
          <w:rFonts w:hint="eastAsia" w:ascii="仿宋_GB2312" w:hAnsi="仿宋_GB2312" w:eastAsia="仿宋_GB2312" w:cs="仿宋_GB2312"/>
          <w:b w:val="0"/>
          <w:bCs/>
          <w:spacing w:val="-4"/>
          <w:sz w:val="32"/>
          <w:szCs w:val="32"/>
        </w:rPr>
        <w:t>是为全面了解该项目预算编制合理性、资金使用合规性、项目管理的规范性、项目目标的实现情况、服务对象的满意度等，对国有企业监督管理综合经费项目支出的经济性、效率性、效益性和公平性进行客观、公正的测评、分析和评判，通过本次绩效评价来总结经验和教训，促进项目成果转化和应用，为今后类似项目的长效管理，提供可行性参考建议。</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bCs w:val="0"/>
          <w:spacing w:val="-4"/>
          <w:sz w:val="32"/>
          <w:szCs w:val="32"/>
        </w:rPr>
        <w:t>2.绩效评价对象</w:t>
      </w:r>
      <w:r>
        <w:rPr>
          <w:rStyle w:val="21"/>
          <w:rFonts w:hint="eastAsia" w:ascii="仿宋_GB2312" w:hAnsi="仿宋_GB2312" w:eastAsia="仿宋_GB2312" w:cs="仿宋_GB2312"/>
          <w:b/>
          <w:bCs w:val="0"/>
          <w:spacing w:val="-4"/>
          <w:sz w:val="32"/>
          <w:szCs w:val="32"/>
          <w:lang w:eastAsia="zh-CN"/>
        </w:rPr>
        <w:t>：</w:t>
      </w:r>
      <w:r>
        <w:rPr>
          <w:rStyle w:val="21"/>
          <w:rFonts w:hint="eastAsia" w:ascii="仿宋_GB2312" w:hAnsi="仿宋_GB2312" w:eastAsia="仿宋_GB2312" w:cs="仿宋_GB2312"/>
          <w:b w:val="0"/>
          <w:bCs/>
          <w:spacing w:val="-4"/>
          <w:sz w:val="32"/>
          <w:szCs w:val="32"/>
        </w:rPr>
        <w:t>本次绩效评价的对象为202</w:t>
      </w:r>
      <w:r>
        <w:rPr>
          <w:rStyle w:val="21"/>
          <w:rFonts w:hint="eastAsia" w:ascii="仿宋_GB2312" w:hAnsi="仿宋_GB2312" w:eastAsia="仿宋_GB2312" w:cs="仿宋_GB2312"/>
          <w:b w:val="0"/>
          <w:bCs/>
          <w:spacing w:val="-4"/>
          <w:sz w:val="32"/>
          <w:szCs w:val="32"/>
          <w:lang w:val="en-US" w:eastAsia="zh-CN"/>
        </w:rPr>
        <w:t>5</w:t>
      </w:r>
      <w:r>
        <w:rPr>
          <w:rStyle w:val="21"/>
          <w:rFonts w:hint="eastAsia" w:ascii="仿宋_GB2312" w:hAnsi="仿宋_GB2312" w:eastAsia="仿宋_GB2312" w:cs="仿宋_GB2312"/>
          <w:b w:val="0"/>
          <w:bCs/>
          <w:spacing w:val="-4"/>
          <w:sz w:val="32"/>
          <w:szCs w:val="32"/>
        </w:rPr>
        <w:t>年国有企业监督管理综合经费项目，主要评价该项目的投入、产出及效益。</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bCs w:val="0"/>
          <w:spacing w:val="-4"/>
          <w:sz w:val="32"/>
          <w:szCs w:val="32"/>
          <w:lang w:val="en-US" w:eastAsia="zh-CN"/>
        </w:rPr>
        <w:t xml:space="preserve"> </w:t>
      </w:r>
      <w:r>
        <w:rPr>
          <w:rStyle w:val="21"/>
          <w:rFonts w:hint="eastAsia" w:ascii="仿宋_GB2312" w:hAnsi="仿宋_GB2312" w:eastAsia="仿宋_GB2312" w:cs="仿宋_GB2312"/>
          <w:b/>
          <w:bCs w:val="0"/>
          <w:spacing w:val="-4"/>
          <w:sz w:val="32"/>
          <w:szCs w:val="32"/>
        </w:rPr>
        <w:t>3.绩效评价范围</w:t>
      </w:r>
      <w:r>
        <w:rPr>
          <w:rStyle w:val="21"/>
          <w:rFonts w:hint="eastAsia" w:ascii="仿宋_GB2312" w:hAnsi="仿宋_GB2312" w:eastAsia="仿宋_GB2312" w:cs="仿宋_GB2312"/>
          <w:b/>
          <w:bCs w:val="0"/>
          <w:spacing w:val="-4"/>
          <w:sz w:val="32"/>
          <w:szCs w:val="32"/>
          <w:lang w:eastAsia="zh-CN"/>
        </w:rPr>
        <w:t>：</w:t>
      </w:r>
      <w:r>
        <w:rPr>
          <w:rStyle w:val="21"/>
          <w:rFonts w:hint="eastAsia" w:ascii="仿宋_GB2312" w:hAnsi="仿宋_GB2312" w:eastAsia="仿宋_GB2312" w:cs="仿宋_GB2312"/>
          <w:b w:val="0"/>
          <w:bCs/>
          <w:spacing w:val="-4"/>
          <w:sz w:val="32"/>
          <w:szCs w:val="32"/>
        </w:rPr>
        <w:t>本次绩效评价范围主要围绕项目决策情况、资金管理和使用情况、相关管理制度办法的健全性及执行情况、实现的产出情况、取得的效益情况以及其他相关内容。</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bCs w:val="0"/>
          <w:spacing w:val="-4"/>
          <w:sz w:val="32"/>
          <w:szCs w:val="32"/>
          <w:lang w:val="en-US" w:eastAsia="zh-CN"/>
        </w:rPr>
        <w:t xml:space="preserve"> </w:t>
      </w:r>
      <w:r>
        <w:rPr>
          <w:rStyle w:val="21"/>
          <w:rFonts w:hint="eastAsia" w:ascii="仿宋_GB2312" w:hAnsi="仿宋_GB2312" w:eastAsia="仿宋_GB2312" w:cs="仿宋_GB2312"/>
          <w:b/>
          <w:bCs w:val="0"/>
          <w:spacing w:val="-4"/>
          <w:sz w:val="32"/>
          <w:szCs w:val="32"/>
        </w:rPr>
        <w:t>4.绩效评价时段</w:t>
      </w:r>
      <w:r>
        <w:rPr>
          <w:rStyle w:val="21"/>
          <w:rFonts w:hint="eastAsia" w:ascii="仿宋_GB2312" w:hAnsi="仿宋_GB2312" w:eastAsia="仿宋_GB2312" w:cs="仿宋_GB2312"/>
          <w:b/>
          <w:bCs w:val="0"/>
          <w:spacing w:val="-4"/>
          <w:sz w:val="32"/>
          <w:szCs w:val="32"/>
          <w:lang w:eastAsia="zh-CN"/>
        </w:rPr>
        <w:t>：</w:t>
      </w:r>
      <w:r>
        <w:rPr>
          <w:rStyle w:val="21"/>
          <w:rFonts w:hint="eastAsia" w:ascii="仿宋_GB2312" w:hAnsi="仿宋_GB2312" w:eastAsia="仿宋_GB2312" w:cs="仿宋_GB2312"/>
          <w:b w:val="0"/>
          <w:bCs/>
          <w:spacing w:val="-4"/>
          <w:sz w:val="32"/>
          <w:szCs w:val="32"/>
        </w:rPr>
        <w:t>本次绩效评价工作的评价时段为：202</w:t>
      </w:r>
      <w:r>
        <w:rPr>
          <w:rStyle w:val="21"/>
          <w:rFonts w:hint="eastAsia" w:ascii="仿宋_GB2312" w:hAnsi="仿宋_GB2312" w:eastAsia="仿宋_GB2312" w:cs="仿宋_GB2312"/>
          <w:b w:val="0"/>
          <w:bCs/>
          <w:spacing w:val="-4"/>
          <w:sz w:val="32"/>
          <w:szCs w:val="32"/>
          <w:lang w:val="en-US" w:eastAsia="zh-CN"/>
        </w:rPr>
        <w:t>6</w:t>
      </w:r>
      <w:r>
        <w:rPr>
          <w:rStyle w:val="21"/>
          <w:rFonts w:hint="eastAsia" w:ascii="仿宋_GB2312" w:hAnsi="仿宋_GB2312" w:eastAsia="仿宋_GB2312" w:cs="仿宋_GB2312"/>
          <w:b w:val="0"/>
          <w:bCs/>
          <w:spacing w:val="-4"/>
          <w:sz w:val="32"/>
          <w:szCs w:val="32"/>
        </w:rPr>
        <w:t>年3月-202</w:t>
      </w:r>
      <w:r>
        <w:rPr>
          <w:rStyle w:val="21"/>
          <w:rFonts w:hint="eastAsia" w:ascii="仿宋_GB2312" w:hAnsi="仿宋_GB2312" w:eastAsia="仿宋_GB2312" w:cs="仿宋_GB2312"/>
          <w:b w:val="0"/>
          <w:bCs/>
          <w:spacing w:val="-4"/>
          <w:sz w:val="32"/>
          <w:szCs w:val="32"/>
          <w:lang w:val="en-US" w:eastAsia="zh-CN"/>
        </w:rPr>
        <w:t>6</w:t>
      </w:r>
      <w:r>
        <w:rPr>
          <w:rStyle w:val="21"/>
          <w:rFonts w:hint="eastAsia" w:ascii="仿宋_GB2312" w:hAnsi="仿宋_GB2312" w:eastAsia="仿宋_GB2312" w:cs="仿宋_GB2312"/>
          <w:b w:val="0"/>
          <w:bCs/>
          <w:spacing w:val="-4"/>
          <w:sz w:val="32"/>
          <w:szCs w:val="32"/>
        </w:rPr>
        <w:t>年4月。</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结合评价内容，从二方面实施绩效评价：一是通过资料查阅了解项目政策、立项背景和决策过程等，二是通过相关处室了解和基础数据采集了解项目实施完成真实情况。</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564" w:firstLineChars="181"/>
        <w:textAlignment w:val="auto"/>
        <w:outlineLvl w:val="9"/>
        <w:rPr>
          <w:rStyle w:val="21"/>
          <w:rFonts w:hint="eastAsia" w:ascii="楷体_GB2312" w:hAnsi="楷体_GB2312" w:eastAsia="楷体_GB2312" w:cs="楷体_GB2312"/>
          <w:b w:val="0"/>
          <w:bCs/>
          <w:spacing w:val="-4"/>
          <w:sz w:val="32"/>
          <w:szCs w:val="32"/>
        </w:rPr>
      </w:pPr>
      <w:r>
        <w:rPr>
          <w:rStyle w:val="21"/>
          <w:rFonts w:hint="eastAsia" w:ascii="楷体_GB2312" w:hAnsi="楷体_GB2312" w:eastAsia="楷体_GB2312" w:cs="楷体_GB2312"/>
          <w:b w:val="0"/>
          <w:bCs/>
          <w:spacing w:val="-4"/>
          <w:sz w:val="32"/>
          <w:szCs w:val="32"/>
        </w:rPr>
        <w:t>（二）绩效评价原则、评价指标体系（附表说明）、评价方法、评价标准等。</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6" w:firstLineChars="200"/>
        <w:textAlignment w:val="auto"/>
        <w:outlineLvl w:val="9"/>
        <w:rPr>
          <w:rStyle w:val="21"/>
          <w:rFonts w:hint="eastAsia" w:ascii="仿宋_GB2312" w:hAnsi="仿宋_GB2312" w:eastAsia="仿宋_GB2312" w:cs="仿宋_GB2312"/>
          <w:b/>
          <w:bCs w:val="0"/>
          <w:spacing w:val="-4"/>
          <w:sz w:val="32"/>
          <w:szCs w:val="32"/>
        </w:rPr>
      </w:pPr>
      <w:r>
        <w:rPr>
          <w:rStyle w:val="21"/>
          <w:rFonts w:hint="eastAsia" w:ascii="仿宋_GB2312" w:hAnsi="仿宋_GB2312" w:eastAsia="仿宋_GB2312" w:cs="仿宋_GB2312"/>
          <w:b/>
          <w:bCs w:val="0"/>
          <w:spacing w:val="-4"/>
          <w:sz w:val="32"/>
          <w:szCs w:val="32"/>
        </w:rPr>
        <w:t>1.绩效评价原则</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outlineLvl w:val="9"/>
        <w:rPr>
          <w:rStyle w:val="21"/>
          <w:rFonts w:hint="eastAsia" w:ascii="仿宋_GB2312" w:hAnsi="仿宋_GB2312" w:eastAsia="仿宋_GB2312" w:cs="仿宋_GB2312"/>
          <w:b w:val="0"/>
          <w:bCs/>
          <w:spacing w:val="-4"/>
          <w:sz w:val="32"/>
          <w:szCs w:val="32"/>
        </w:rPr>
      </w:pPr>
      <w:r>
        <w:rPr>
          <w:rStyle w:val="21"/>
          <w:rFonts w:hint="eastAsia" w:ascii="仿宋_GB2312" w:hAnsi="仿宋_GB2312" w:eastAsia="仿宋_GB2312" w:cs="仿宋_GB2312"/>
          <w:b w:val="0"/>
          <w:bCs/>
          <w:spacing w:val="-4"/>
          <w:sz w:val="32"/>
          <w:szCs w:val="32"/>
        </w:rPr>
        <w:t>依据《中华人民共和国预算法》《中共中央国务院关于全面实施预算绩效管理的意见》（中发〔2018〕34 号）、《项目支出绩效评价管理办法》（财预〔2020〕10 号）、《自治区党委自治区人民政府关于全面实施预算绩效管理的实施意见》（新党发〔2018〕30 号）、《自治区全面实施预算绩效管理的工作方案》（新财〔2018〕158 号）、《自治区财政支出绩效评价管理暂行办法》（新财预〔2018〕189 号）系列文件的要求，遵照科学规范、公正公开、分级分类、绩效相关等原则开展绩效评价工作，结合“国有企业资产监督管理综合经费”项目特点，注重项目支出的经济性、效率性、效益性和公平性，严格执行规定的程序，采用定量与定性分析相结合的方法对投入、产出进行评价。</w:t>
      </w:r>
      <w:r>
        <w:rPr>
          <w:rStyle w:val="21"/>
          <w:rFonts w:hint="eastAsia" w:ascii="仿宋_GB2312" w:hAnsi="仿宋_GB2312" w:eastAsia="仿宋_GB2312" w:cs="仿宋_GB2312"/>
          <w:b w:val="0"/>
          <w:bCs/>
          <w:spacing w:val="-4"/>
          <w:sz w:val="32"/>
          <w:szCs w:val="32"/>
        </w:rPr>
        <w:cr/>
      </w:r>
      <w:r>
        <w:rPr>
          <w:rStyle w:val="21"/>
          <w:rFonts w:hint="eastAsia" w:ascii="仿宋_GB2312" w:hAnsi="仿宋_GB2312" w:eastAsia="仿宋_GB2312" w:cs="仿宋_GB2312"/>
          <w:b/>
          <w:bCs w:val="0"/>
          <w:spacing w:val="-4"/>
          <w:sz w:val="32"/>
          <w:szCs w:val="32"/>
          <w:lang w:val="en-US" w:eastAsia="zh-CN"/>
        </w:rPr>
        <w:t xml:space="preserve">    </w:t>
      </w:r>
      <w:r>
        <w:rPr>
          <w:rStyle w:val="21"/>
          <w:rFonts w:hint="eastAsia" w:ascii="仿宋_GB2312" w:hAnsi="仿宋_GB2312" w:eastAsia="仿宋_GB2312" w:cs="仿宋_GB2312"/>
          <w:b/>
          <w:bCs w:val="0"/>
          <w:spacing w:val="-4"/>
          <w:sz w:val="32"/>
          <w:szCs w:val="32"/>
        </w:rPr>
        <w:t>2.绩效评价指标体系</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国有企业资产监督管理综合经费项目财政支出绩效评价指标体系严格按照《项目支出绩效评价管理办法》（财预〔2020〕10号）文件要求设置，指标体系设置一级指标共4 个，包括决策指标（权重值15）、过程指标（权重值20）、产出指标（权重值30）、效益指标（权重值35）四类指标；主要围绕资金使用、项目管理、资源配置等方面，客观分析项目的产出和效果。绩效评价结果采取评分和评级相结合的方式，绩效评价总分值 100分，等级划分为四档。</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主要有：90分（含）-100分，评价结果级别“优”；80分（含）-90分，评价结果级别“良”；60分（含）-80分，评价结果级别“中”；60分以下，评价结果级别“差”。</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638" w:leftChars="304" w:right="0" w:rightChars="0" w:firstLine="0" w:firstLineChars="0"/>
        <w:textAlignment w:val="auto"/>
        <w:outlineLvl w:val="9"/>
        <w:rPr>
          <w:rStyle w:val="21"/>
          <w:rFonts w:hint="eastAsia" w:ascii="仿宋_GB2312" w:hAnsi="仿宋_GB2312" w:eastAsia="仿宋_GB2312" w:cs="仿宋_GB2312"/>
          <w:b/>
          <w:bCs w:val="0"/>
          <w:spacing w:val="-4"/>
          <w:sz w:val="32"/>
          <w:szCs w:val="32"/>
        </w:rPr>
      </w:pPr>
      <w:r>
        <w:rPr>
          <w:rStyle w:val="21"/>
          <w:rFonts w:hint="eastAsia" w:ascii="仿宋_GB2312" w:hAnsi="仿宋_GB2312" w:eastAsia="仿宋_GB2312" w:cs="仿宋_GB2312"/>
          <w:b/>
          <w:bCs w:val="0"/>
          <w:spacing w:val="-4"/>
          <w:sz w:val="32"/>
          <w:szCs w:val="32"/>
        </w:rPr>
        <w:t>制定评价指标体系的原则</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right="0" w:rightChars="0" w:firstLine="624" w:firstLineChars="200"/>
        <w:textAlignment w:val="auto"/>
        <w:outlineLvl w:val="9"/>
        <w:rPr>
          <w:rStyle w:val="21"/>
          <w:rFonts w:hint="eastAsia" w:ascii="仿宋_GB2312" w:hAnsi="仿宋_GB2312" w:eastAsia="仿宋_GB2312" w:cs="仿宋_GB2312"/>
          <w:b w:val="0"/>
          <w:bCs/>
          <w:spacing w:val="-4"/>
          <w:sz w:val="32"/>
          <w:szCs w:val="32"/>
        </w:rPr>
      </w:pPr>
      <w:r>
        <w:rPr>
          <w:rStyle w:val="21"/>
          <w:rFonts w:hint="eastAsia" w:ascii="仿宋_GB2312" w:hAnsi="仿宋_GB2312" w:eastAsia="仿宋_GB2312" w:cs="仿宋_GB2312"/>
          <w:b w:val="0"/>
          <w:bCs/>
          <w:spacing w:val="-4"/>
          <w:sz w:val="32"/>
          <w:szCs w:val="32"/>
        </w:rPr>
        <w:t>相关性原则。选定的绩效评价指标与其所做的工作和完成的任务有直接的联系。</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（2）重要性原则。对绩效评价指标在整个评价过程中的地位和作用进行筛选，选择最具有代表性、最能反映评价要求的绩效评价指标。</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（3）可比性原则。对具有相似目标的工作选定共同的绩效目标，保证绩效结果可以相互比较。</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（4）经济性原则。绩效评价指标要考虑现实条件和可操作性，能在合理的成本基础上取得绩效目标数据并进行评价。</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（5）动态性原则。项目绩效评价是一个动态过程，反映项目绩效的指标体系同样不能一成不变，而应是动态性的、可补充的，可根据绩效评价工作的开展情况，不断调整、完善基本指标。</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bCs w:val="0"/>
          <w:spacing w:val="-4"/>
          <w:sz w:val="32"/>
          <w:szCs w:val="32"/>
          <w:lang w:val="en-US" w:eastAsia="zh-CN"/>
        </w:rPr>
        <w:t xml:space="preserve">    </w:t>
      </w:r>
      <w:r>
        <w:rPr>
          <w:rStyle w:val="21"/>
          <w:rFonts w:hint="eastAsia" w:ascii="仿宋_GB2312" w:hAnsi="仿宋_GB2312" w:eastAsia="仿宋_GB2312" w:cs="仿宋_GB2312"/>
          <w:b/>
          <w:bCs w:val="0"/>
          <w:spacing w:val="-4"/>
          <w:sz w:val="32"/>
          <w:szCs w:val="32"/>
        </w:rPr>
        <w:t>4．绩效评价方法</w:t>
      </w:r>
      <w:r>
        <w:rPr>
          <w:rStyle w:val="21"/>
          <w:rFonts w:hint="eastAsia" w:ascii="仿宋_GB2312" w:hAnsi="仿宋_GB2312" w:eastAsia="仿宋_GB2312" w:cs="仿宋_GB2312"/>
          <w:b/>
          <w:bCs w:val="0"/>
          <w:spacing w:val="-4"/>
          <w:sz w:val="32"/>
          <w:szCs w:val="32"/>
        </w:rPr>
        <w:br w:type="textWrapping"/>
      </w:r>
      <w:r>
        <w:rPr>
          <w:rStyle w:val="21"/>
          <w:rFonts w:hint="eastAsia" w:ascii="仿宋_GB2312" w:hAnsi="仿宋_GB2312" w:eastAsia="仿宋_GB2312" w:cs="仿宋_GB2312"/>
          <w:b/>
          <w:bCs w:val="0"/>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根据国有企业资产监督管理综合经费项目的特点，主要采用比较法、因素分析法、公众评判法三种方法进行评价。根据已设定的绩效目标及指标，收集与项目相关的文件、财务资料、项目资料等资料，对收集到的相关资料进行整理、分析并进行统计。在此基础上，采用比较法将分析、统计结果与既定的绩效目标指标进行定量、定性比较，得出目标完成情况；采用因素分析法，对影响绩效目标实现、预期指标值完成、项目具体实施效果的各项内外因素进行分析判断；采用公众评判法评价项目实施后是否达到了预期效益以及受益企业满意度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26" w:firstLineChars="200"/>
        <w:textAlignment w:val="auto"/>
        <w:outlineLvl w:val="9"/>
        <w:rPr>
          <w:rStyle w:val="21"/>
          <w:rFonts w:hint="eastAsia" w:ascii="仿宋_GB2312" w:hAnsi="仿宋_GB2312" w:eastAsia="仿宋_GB2312" w:cs="仿宋_GB2312"/>
          <w:b w:val="0"/>
          <w:bCs/>
          <w:spacing w:val="-4"/>
          <w:sz w:val="32"/>
          <w:szCs w:val="32"/>
        </w:rPr>
      </w:pPr>
      <w:r>
        <w:rPr>
          <w:rStyle w:val="21"/>
          <w:rFonts w:hint="eastAsia" w:ascii="仿宋_GB2312" w:hAnsi="仿宋_GB2312" w:eastAsia="仿宋_GB2312" w:cs="仿宋_GB2312"/>
          <w:b/>
          <w:bCs w:val="0"/>
          <w:spacing w:val="-4"/>
          <w:sz w:val="32"/>
          <w:szCs w:val="32"/>
          <w:lang w:val="en-US" w:eastAsia="zh-CN"/>
        </w:rPr>
        <w:t>5.</w:t>
      </w:r>
      <w:r>
        <w:rPr>
          <w:rStyle w:val="21"/>
          <w:rFonts w:hint="eastAsia" w:ascii="仿宋_GB2312" w:hAnsi="仿宋_GB2312" w:eastAsia="仿宋_GB2312" w:cs="仿宋_GB2312"/>
          <w:b/>
          <w:bCs w:val="0"/>
          <w:spacing w:val="-4"/>
          <w:sz w:val="32"/>
          <w:szCs w:val="32"/>
        </w:rPr>
        <w:t>绩效评价依据和材料</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（1）《中华人民共和国预算法》（2018年修正）；</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（2）《自治区党委</w:t>
      </w:r>
      <w:r>
        <w:rPr>
          <w:rStyle w:val="21"/>
          <w:rFonts w:hint="eastAsia" w:ascii="仿宋_GB2312" w:hAnsi="仿宋_GB2312" w:eastAsia="仿宋_GB2312" w:cs="仿宋_GB2312"/>
          <w:b w:val="0"/>
          <w:bCs/>
          <w:spacing w:val="-4"/>
          <w:sz w:val="32"/>
          <w:szCs w:val="32"/>
          <w:lang w:eastAsia="zh-CN"/>
        </w:rPr>
        <w:t>、</w:t>
      </w:r>
      <w:r>
        <w:rPr>
          <w:rStyle w:val="21"/>
          <w:rFonts w:hint="eastAsia" w:ascii="仿宋_GB2312" w:hAnsi="仿宋_GB2312" w:eastAsia="仿宋_GB2312" w:cs="仿宋_GB2312"/>
          <w:b w:val="0"/>
          <w:bCs/>
          <w:spacing w:val="-4"/>
          <w:sz w:val="32"/>
          <w:szCs w:val="32"/>
        </w:rPr>
        <w:t>自治区人民政府关于全面实施预算绩效管理的实施意见》（新党发〔2018〕30 号）；</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（3）《自治区全面实施预算绩效管理的工作方案》（新财预〔2018〕158 号）；</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（4）关于印发《自治区项目支出绩效目标设置指引》的通知新财预〔2022〕42号；</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（5）《自治区国资委预算绩效管理办法（暂行）》（新国资办〔2021〕52号）等适用于本项目的相关法律法规及管理制度。</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（6）项目有关情况说明及佐证材料；</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（7）项目绩效目标申报表、绩效监控表、绩效自评表；</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（8）项目立项依据和背景资料（包括相关文件及上级批示等）；</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（9）相关业务管理制度办法和文件；</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（10）项目调整情况及其报告和批准文件；</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（11）评价周期内项目预算批复文件（含资金下达文件、相关报表、预算调整文件等）；</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（12）评价周期内项目财务收支明细账、资金执行情况统计表等；</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（13）相关资金、财务及单位内控等方面的管理制度办法文件；</w:t>
      </w:r>
    </w:p>
    <w:p>
      <w:pPr>
        <w:keepNext w:val="0"/>
        <w:keepLines w:val="0"/>
        <w:pageBreakBefore w:val="0"/>
        <w:widowControl w:val="0"/>
        <w:numPr>
          <w:ilvl w:val="0"/>
          <w:numId w:val="4"/>
        </w:numPr>
        <w:kinsoku/>
        <w:wordWrap/>
        <w:overflowPunct/>
        <w:topLinePunct w:val="0"/>
        <w:autoSpaceDE/>
        <w:autoSpaceDN/>
        <w:bidi w:val="0"/>
        <w:adjustRightInd/>
        <w:snapToGrid/>
        <w:spacing w:line="600" w:lineRule="exact"/>
        <w:ind w:left="638" w:leftChars="304" w:right="0" w:rightChars="0" w:firstLine="0" w:firstLineChars="0"/>
        <w:textAlignment w:val="auto"/>
        <w:outlineLvl w:val="9"/>
        <w:rPr>
          <w:rStyle w:val="21"/>
          <w:rFonts w:hint="eastAsia" w:ascii="仿宋_GB2312" w:hAnsi="仿宋_GB2312" w:eastAsia="仿宋_GB2312" w:cs="仿宋_GB2312"/>
          <w:b w:val="0"/>
          <w:bCs/>
          <w:spacing w:val="-4"/>
          <w:sz w:val="32"/>
          <w:szCs w:val="32"/>
        </w:rPr>
      </w:pPr>
      <w:r>
        <w:rPr>
          <w:rStyle w:val="21"/>
          <w:rFonts w:hint="eastAsia" w:ascii="仿宋_GB2312" w:hAnsi="仿宋_GB2312" w:eastAsia="仿宋_GB2312" w:cs="仿宋_GB2312"/>
          <w:b w:val="0"/>
          <w:bCs/>
          <w:spacing w:val="-4"/>
          <w:sz w:val="32"/>
          <w:szCs w:val="32"/>
        </w:rPr>
        <w:t>项目相关协议合同及台账；</w:t>
      </w:r>
      <w:r>
        <w:rPr>
          <w:rStyle w:val="21"/>
          <w:rFonts w:hint="eastAsia" w:ascii="仿宋_GB2312" w:hAnsi="仿宋_GB2312" w:eastAsia="仿宋_GB2312" w:cs="仿宋_GB2312"/>
          <w:b w:val="0"/>
          <w:bCs/>
          <w:spacing w:val="-4"/>
          <w:sz w:val="32"/>
          <w:szCs w:val="32"/>
        </w:rPr>
        <w:cr/>
      </w:r>
      <w:r>
        <w:rPr>
          <w:rStyle w:val="21"/>
          <w:rFonts w:hint="eastAsia" w:ascii="仿宋_GB2312" w:hAnsi="仿宋_GB2312" w:eastAsia="仿宋_GB2312" w:cs="仿宋_GB2312"/>
          <w:b w:val="0"/>
          <w:bCs/>
          <w:spacing w:val="-4"/>
          <w:sz w:val="32"/>
          <w:szCs w:val="32"/>
        </w:rPr>
        <w:t>（15）评价周期内所在单位决算报表、决算分析报告等；</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24" w:firstLineChars="200"/>
        <w:textAlignment w:val="auto"/>
        <w:outlineLvl w:val="9"/>
        <w:rPr>
          <w:rStyle w:val="21"/>
          <w:rFonts w:hint="eastAsia" w:ascii="仿宋_GB2312" w:hAnsi="仿宋_GB2312" w:eastAsia="仿宋_GB2312" w:cs="仿宋_GB2312"/>
          <w:b w:val="0"/>
          <w:bCs/>
          <w:spacing w:val="-4"/>
          <w:sz w:val="32"/>
          <w:szCs w:val="32"/>
        </w:rPr>
      </w:pPr>
      <w:r>
        <w:rPr>
          <w:rStyle w:val="21"/>
          <w:rFonts w:hint="eastAsia" w:ascii="仿宋_GB2312" w:hAnsi="仿宋_GB2312" w:eastAsia="仿宋_GB2312" w:cs="仿宋_GB2312"/>
          <w:b w:val="0"/>
          <w:bCs/>
          <w:spacing w:val="-4"/>
          <w:sz w:val="32"/>
          <w:szCs w:val="32"/>
        </w:rPr>
        <w:t>（16）人大、审计、财政及其他相关管理部门对项目和被评价</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564" w:firstLineChars="181"/>
        <w:textAlignment w:val="auto"/>
        <w:outlineLvl w:val="9"/>
        <w:rPr>
          <w:rStyle w:val="21"/>
          <w:rFonts w:hint="eastAsia" w:ascii="楷体_GB2312" w:hAnsi="楷体_GB2312" w:eastAsia="楷体_GB2312" w:cs="楷体_GB2312"/>
          <w:b w:val="0"/>
          <w:bCs/>
          <w:spacing w:val="-4"/>
          <w:sz w:val="32"/>
          <w:szCs w:val="32"/>
        </w:rPr>
      </w:pPr>
      <w:r>
        <w:rPr>
          <w:rStyle w:val="21"/>
          <w:rFonts w:hint="eastAsia" w:ascii="楷体_GB2312" w:hAnsi="楷体_GB2312" w:eastAsia="楷体_GB2312" w:cs="楷体_GB2312"/>
          <w:b w:val="0"/>
          <w:bCs/>
          <w:spacing w:val="-4"/>
          <w:sz w:val="32"/>
          <w:szCs w:val="32"/>
        </w:rPr>
        <w:t>（三）绩效评价工作过程。</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567"/>
        <w:textAlignment w:val="auto"/>
        <w:outlineLvl w:val="9"/>
        <w:rPr>
          <w:rStyle w:val="21"/>
          <w:rFonts w:hint="eastAsia" w:ascii="仿宋_GB2312" w:hAnsi="仿宋_GB2312" w:eastAsia="仿宋_GB2312" w:cs="仿宋_GB2312"/>
          <w:b w:val="0"/>
          <w:bCs/>
          <w:spacing w:val="-4"/>
          <w:sz w:val="32"/>
          <w:szCs w:val="32"/>
        </w:rPr>
      </w:pPr>
      <w:r>
        <w:rPr>
          <w:rStyle w:val="21"/>
          <w:rFonts w:hint="eastAsia" w:ascii="仿宋_GB2312" w:hAnsi="仿宋_GB2312" w:eastAsia="仿宋_GB2312" w:cs="仿宋_GB2312"/>
          <w:b w:val="0"/>
          <w:bCs/>
          <w:spacing w:val="-4"/>
          <w:sz w:val="32"/>
          <w:szCs w:val="32"/>
        </w:rPr>
        <w:t>本次评价主要由办公室牵头对“国有企业资产监督管理综合经费项目”开展评价，详细评价过程如下：</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bCs w:val="0"/>
          <w:spacing w:val="-4"/>
          <w:sz w:val="32"/>
          <w:szCs w:val="32"/>
          <w:lang w:val="en-US" w:eastAsia="zh-CN"/>
        </w:rPr>
        <w:t xml:space="preserve">    </w:t>
      </w:r>
      <w:r>
        <w:rPr>
          <w:rStyle w:val="21"/>
          <w:rFonts w:hint="eastAsia" w:ascii="仿宋_GB2312" w:hAnsi="仿宋_GB2312" w:eastAsia="仿宋_GB2312" w:cs="仿宋_GB2312"/>
          <w:b/>
          <w:bCs w:val="0"/>
          <w:spacing w:val="-4"/>
          <w:sz w:val="32"/>
          <w:szCs w:val="32"/>
        </w:rPr>
        <w:t>1.前期准备</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（1）确立项目评价部门、人员。本次评价充分按工作要求考虑人员结构、业务能力、利益关系回避等情况，确立由办公室牵头、财务部门负责具体评价工作。</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（2）按照本部门绩效管理办法中确立的评价工作要求执行，主要包括人员分工、时间安排、评价依据、评价方法、评价指标体系、实施步骤及工作纪律等内容。</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（3）严格按照《项目支出绩效评价管理办法》（财预〔2020〕10 号）文件要求设置绩效评价指标体系。明确调查的目的、对象、方法等内容。</w:t>
      </w:r>
      <w:r>
        <w:rPr>
          <w:rStyle w:val="21"/>
          <w:rFonts w:hint="eastAsia" w:ascii="仿宋_GB2312" w:hAnsi="仿宋_GB2312" w:eastAsia="仿宋_GB2312" w:cs="仿宋_GB2312"/>
          <w:b w:val="0"/>
          <w:bCs/>
          <w:spacing w:val="-4"/>
          <w:sz w:val="32"/>
          <w:szCs w:val="32"/>
        </w:rPr>
        <w:cr/>
      </w:r>
      <w:r>
        <w:rPr>
          <w:rStyle w:val="21"/>
          <w:rFonts w:hint="eastAsia" w:ascii="仿宋_GB2312" w:hAnsi="仿宋_GB2312" w:eastAsia="仿宋_GB2312" w:cs="仿宋_GB2312"/>
          <w:b/>
          <w:bCs w:val="0"/>
          <w:spacing w:val="-4"/>
          <w:sz w:val="32"/>
          <w:szCs w:val="32"/>
          <w:lang w:val="en-US" w:eastAsia="zh-CN"/>
        </w:rPr>
        <w:t xml:space="preserve">    </w:t>
      </w:r>
      <w:r>
        <w:rPr>
          <w:rStyle w:val="21"/>
          <w:rFonts w:hint="eastAsia" w:ascii="仿宋_GB2312" w:hAnsi="仿宋_GB2312" w:eastAsia="仿宋_GB2312" w:cs="仿宋_GB2312"/>
          <w:b/>
          <w:bCs w:val="0"/>
          <w:spacing w:val="-4"/>
          <w:sz w:val="32"/>
          <w:szCs w:val="32"/>
        </w:rPr>
        <w:t>2.组织实施</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本次绩效评价工作资料收集及现场采集结合方式实施评价，具体实施情况如下：</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（1）采集评价基础数据及相关资料</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全面收集项目相关资料和基础数据，完成绩效评价内容和评价指标体系的评价印证资料。整理该项目主要采用查阅相关文件政策、会计凭证等资料，采集项目资金支出情况、项目完成情况及项目成本构成等数据资料，对采集的数据做详细的分析和统计。</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2）现场采集项目资料、检查项目资金使用情况，重点关注资金使用是否存在截留、挪用财政专项资金的情况；资金支付审批情况是否合规；资金支付所需材料是否齐备；是否存在擅自改变、扩大支出范围的情况；是否存在擅自提高支出标准、虚列项目支出等情况。本次开展现场采集的处室有</w:t>
      </w:r>
      <w:r>
        <w:rPr>
          <w:rStyle w:val="21"/>
          <w:rFonts w:hint="eastAsia" w:ascii="仿宋_GB2312" w:hAnsi="仿宋_GB2312" w:eastAsia="仿宋_GB2312" w:cs="仿宋_GB2312"/>
          <w:b w:val="0"/>
          <w:bCs/>
          <w:spacing w:val="-4"/>
          <w:sz w:val="32"/>
          <w:szCs w:val="32"/>
          <w:lang w:val="en-US" w:eastAsia="zh-CN"/>
        </w:rPr>
        <w:t>8</w:t>
      </w:r>
      <w:r>
        <w:rPr>
          <w:rStyle w:val="21"/>
          <w:rFonts w:hint="eastAsia" w:ascii="仿宋_GB2312" w:hAnsi="仿宋_GB2312" w:eastAsia="仿宋_GB2312" w:cs="仿宋_GB2312"/>
          <w:b w:val="0"/>
          <w:bCs/>
          <w:spacing w:val="-4"/>
          <w:sz w:val="32"/>
          <w:szCs w:val="32"/>
        </w:rPr>
        <w:t>个，涉及项目总金额3</w:t>
      </w:r>
      <w:r>
        <w:rPr>
          <w:rStyle w:val="21"/>
          <w:rFonts w:hint="eastAsia" w:ascii="仿宋_GB2312" w:hAnsi="仿宋_GB2312" w:eastAsia="仿宋_GB2312" w:cs="仿宋_GB2312"/>
          <w:b w:val="0"/>
          <w:bCs/>
          <w:spacing w:val="-4"/>
          <w:sz w:val="32"/>
          <w:szCs w:val="32"/>
          <w:lang w:val="en-US" w:eastAsia="zh-CN"/>
        </w:rPr>
        <w:t>07.12</w:t>
      </w:r>
      <w:r>
        <w:rPr>
          <w:rStyle w:val="21"/>
          <w:rFonts w:hint="eastAsia" w:ascii="仿宋_GB2312" w:hAnsi="仿宋_GB2312" w:eastAsia="仿宋_GB2312" w:cs="仿宋_GB2312"/>
          <w:b w:val="0"/>
          <w:bCs/>
          <w:spacing w:val="-4"/>
          <w:sz w:val="32"/>
          <w:szCs w:val="32"/>
        </w:rPr>
        <w:t>万元，项目覆盖率100%。</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bCs w:val="0"/>
          <w:spacing w:val="-4"/>
          <w:sz w:val="32"/>
          <w:szCs w:val="32"/>
          <w:lang w:val="en-US" w:eastAsia="zh-CN"/>
        </w:rPr>
        <w:t xml:space="preserve">    </w:t>
      </w:r>
      <w:r>
        <w:rPr>
          <w:rStyle w:val="21"/>
          <w:rFonts w:hint="eastAsia" w:ascii="仿宋_GB2312" w:hAnsi="仿宋_GB2312" w:eastAsia="仿宋_GB2312" w:cs="仿宋_GB2312"/>
          <w:b/>
          <w:bCs w:val="0"/>
          <w:spacing w:val="-4"/>
          <w:sz w:val="32"/>
          <w:szCs w:val="32"/>
        </w:rPr>
        <w:t>3.分析评价</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项目绩效评价工作人员对采集的数据资料进行复核汇总、分类整理和综合分析。按照设立的评价指标、标准、权重、方法实施评价，并形成评价结论。</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bCs w:val="0"/>
          <w:spacing w:val="-4"/>
          <w:sz w:val="32"/>
          <w:szCs w:val="32"/>
          <w:lang w:val="en-US" w:eastAsia="zh-CN"/>
        </w:rPr>
        <w:t xml:space="preserve">    </w:t>
      </w:r>
      <w:r>
        <w:rPr>
          <w:rStyle w:val="21"/>
          <w:rFonts w:hint="eastAsia" w:ascii="仿宋_GB2312" w:hAnsi="仿宋_GB2312" w:eastAsia="仿宋_GB2312" w:cs="仿宋_GB2312"/>
          <w:b/>
          <w:bCs w:val="0"/>
          <w:spacing w:val="-4"/>
          <w:sz w:val="32"/>
          <w:szCs w:val="32"/>
        </w:rPr>
        <w:t>4.撰写评价报告</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项目评价组根据绩效评价的原理，对收集的数据汇总和分析，撰写绩效评价报告，形成绩效评价报告初稿，征求项目实施单位意见，双方意见达成一致后在规定时间内上报新疆维吾尔自治区财政厅。</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textAlignment w:val="auto"/>
        <w:outlineLvl w:val="9"/>
        <w:rPr>
          <w:rStyle w:val="21"/>
          <w:rFonts w:hint="eastAsia" w:ascii="黑体" w:hAnsi="黑体" w:eastAsia="黑体" w:cs="黑体"/>
          <w:b w:val="0"/>
          <w:bCs/>
          <w:spacing w:val="-4"/>
          <w:sz w:val="32"/>
          <w:szCs w:val="32"/>
        </w:rPr>
      </w:pPr>
      <w:r>
        <w:rPr>
          <w:rStyle w:val="21"/>
          <w:rFonts w:hint="eastAsia" w:ascii="黑体" w:hAnsi="黑体" w:eastAsia="黑体" w:cs="黑体"/>
          <w:b w:val="0"/>
          <w:bCs/>
          <w:spacing w:val="-4"/>
          <w:sz w:val="32"/>
          <w:szCs w:val="32"/>
        </w:rPr>
        <w:t>三、综合评价情况及评价结论</w:t>
      </w:r>
    </w:p>
    <w:p>
      <w:pPr>
        <w:keepNext w:val="0"/>
        <w:keepLines w:val="0"/>
        <w:pageBreakBefore w:val="0"/>
        <w:kinsoku/>
        <w:wordWrap/>
        <w:bidi w:val="0"/>
        <w:spacing w:beforeLines="0" w:afterLines="0" w:line="560" w:lineRule="exact"/>
        <w:ind w:right="0" w:rightChars="0" w:firstLine="624" w:firstLineChars="200"/>
        <w:jc w:val="left"/>
        <w:rPr>
          <w:rStyle w:val="21"/>
          <w:rFonts w:hint="eastAsia" w:ascii="仿宋_GB2312" w:hAnsi="仿宋_GB2312" w:eastAsia="仿宋_GB2312" w:cs="仿宋_GB2312"/>
          <w:b w:val="0"/>
          <w:bCs/>
          <w:spacing w:val="-4"/>
          <w:sz w:val="32"/>
          <w:szCs w:val="32"/>
        </w:rPr>
      </w:pPr>
      <w:r>
        <w:rPr>
          <w:rStyle w:val="21"/>
          <w:rFonts w:hint="eastAsia" w:ascii="仿宋_GB2312" w:hAnsi="仿宋_GB2312" w:eastAsia="仿宋_GB2312" w:cs="仿宋_GB2312"/>
          <w:b w:val="0"/>
          <w:bCs/>
          <w:spacing w:val="-4"/>
          <w:sz w:val="32"/>
          <w:szCs w:val="32"/>
        </w:rPr>
        <w:t>通过调研、数据分析、访谈等方式，根据绩效评价方案确定的指标体系及评分标准，对“国有企业资产监督管理综合经费项目”绩效进行客观评价，得出综合评价结论如下：国有企业资产监督管理综合经费项目共设置绩效目标12个，实现目标1</w:t>
      </w:r>
      <w:r>
        <w:rPr>
          <w:rStyle w:val="21"/>
          <w:rFonts w:hint="eastAsia" w:ascii="仿宋_GB2312" w:hAnsi="仿宋_GB2312" w:eastAsia="仿宋_GB2312" w:cs="仿宋_GB2312"/>
          <w:b w:val="0"/>
          <w:bCs/>
          <w:spacing w:val="-4"/>
          <w:sz w:val="32"/>
          <w:szCs w:val="32"/>
          <w:lang w:val="en-US" w:eastAsia="zh-CN"/>
        </w:rPr>
        <w:t>1</w:t>
      </w:r>
      <w:r>
        <w:rPr>
          <w:rStyle w:val="21"/>
          <w:rFonts w:hint="eastAsia" w:ascii="仿宋_GB2312" w:hAnsi="仿宋_GB2312" w:eastAsia="仿宋_GB2312" w:cs="仿宋_GB2312"/>
          <w:b w:val="0"/>
          <w:bCs/>
          <w:spacing w:val="-4"/>
          <w:sz w:val="32"/>
          <w:szCs w:val="32"/>
        </w:rPr>
        <w:t>个，完成率</w:t>
      </w:r>
      <w:r>
        <w:rPr>
          <w:rStyle w:val="21"/>
          <w:rFonts w:hint="eastAsia" w:ascii="仿宋_GB2312" w:hAnsi="仿宋_GB2312" w:eastAsia="仿宋_GB2312" w:cs="仿宋_GB2312"/>
          <w:b w:val="0"/>
          <w:bCs/>
          <w:spacing w:val="-4"/>
          <w:sz w:val="32"/>
          <w:szCs w:val="32"/>
          <w:lang w:val="en-US" w:eastAsia="zh-CN"/>
        </w:rPr>
        <w:t>95.83</w:t>
      </w:r>
      <w:r>
        <w:rPr>
          <w:rStyle w:val="21"/>
          <w:rFonts w:hint="eastAsia" w:ascii="仿宋_GB2312" w:hAnsi="仿宋_GB2312" w:eastAsia="仿宋_GB2312" w:cs="仿宋_GB2312"/>
          <w:b w:val="0"/>
          <w:bCs/>
          <w:spacing w:val="-4"/>
          <w:sz w:val="32"/>
          <w:szCs w:val="32"/>
        </w:rPr>
        <w:t>%。项目决策指标共设置6个，满分指标</w:t>
      </w:r>
      <w:r>
        <w:rPr>
          <w:rStyle w:val="21"/>
          <w:rFonts w:hint="eastAsia" w:ascii="仿宋_GB2312" w:hAnsi="仿宋_GB2312" w:eastAsia="仿宋_GB2312" w:cs="仿宋_GB2312"/>
          <w:b w:val="0"/>
          <w:bCs/>
          <w:spacing w:val="-4"/>
          <w:sz w:val="32"/>
          <w:szCs w:val="32"/>
          <w:lang w:val="en-US" w:eastAsia="zh-CN"/>
        </w:rPr>
        <w:t>4</w:t>
      </w:r>
      <w:r>
        <w:rPr>
          <w:rStyle w:val="21"/>
          <w:rFonts w:hint="eastAsia" w:ascii="仿宋_GB2312" w:hAnsi="仿宋_GB2312" w:eastAsia="仿宋_GB2312" w:cs="仿宋_GB2312"/>
          <w:b w:val="0"/>
          <w:bCs/>
          <w:spacing w:val="-4"/>
          <w:sz w:val="32"/>
          <w:szCs w:val="32"/>
        </w:rPr>
        <w:t>个，得分率</w:t>
      </w:r>
      <w:r>
        <w:rPr>
          <w:rStyle w:val="21"/>
          <w:rFonts w:hint="eastAsia" w:ascii="仿宋_GB2312" w:hAnsi="仿宋_GB2312" w:eastAsia="仿宋_GB2312" w:cs="仿宋_GB2312"/>
          <w:b w:val="0"/>
          <w:bCs/>
          <w:spacing w:val="-4"/>
          <w:sz w:val="32"/>
          <w:szCs w:val="32"/>
          <w:lang w:val="en-US" w:eastAsia="zh-CN"/>
        </w:rPr>
        <w:t>90</w:t>
      </w:r>
      <w:r>
        <w:rPr>
          <w:rStyle w:val="21"/>
          <w:rFonts w:hint="eastAsia" w:ascii="仿宋_GB2312" w:hAnsi="仿宋_GB2312" w:eastAsia="仿宋_GB2312" w:cs="仿宋_GB2312"/>
          <w:b w:val="0"/>
          <w:bCs/>
          <w:spacing w:val="-4"/>
          <w:sz w:val="32"/>
          <w:szCs w:val="32"/>
        </w:rPr>
        <w:t>%；项目过程指标共设置5个，满分指标4个，得分率9</w:t>
      </w:r>
      <w:r>
        <w:rPr>
          <w:rStyle w:val="21"/>
          <w:rFonts w:hint="eastAsia" w:ascii="仿宋_GB2312" w:hAnsi="仿宋_GB2312" w:eastAsia="仿宋_GB2312" w:cs="仿宋_GB2312"/>
          <w:b w:val="0"/>
          <w:bCs/>
          <w:spacing w:val="-4"/>
          <w:sz w:val="32"/>
          <w:szCs w:val="32"/>
          <w:lang w:val="en-US" w:eastAsia="zh-CN"/>
        </w:rPr>
        <w:t>6</w:t>
      </w:r>
      <w:r>
        <w:rPr>
          <w:rStyle w:val="21"/>
          <w:rFonts w:hint="eastAsia" w:ascii="仿宋_GB2312" w:hAnsi="仿宋_GB2312" w:eastAsia="仿宋_GB2312" w:cs="仿宋_GB2312"/>
          <w:b w:val="0"/>
          <w:bCs/>
          <w:spacing w:val="-4"/>
          <w:sz w:val="32"/>
          <w:szCs w:val="32"/>
        </w:rPr>
        <w:t>%；项目产出指标共设置</w:t>
      </w:r>
      <w:r>
        <w:rPr>
          <w:rStyle w:val="21"/>
          <w:rFonts w:hint="eastAsia" w:ascii="仿宋_GB2312" w:hAnsi="仿宋_GB2312" w:eastAsia="仿宋_GB2312" w:cs="仿宋_GB2312"/>
          <w:b w:val="0"/>
          <w:bCs/>
          <w:spacing w:val="-4"/>
          <w:sz w:val="32"/>
          <w:szCs w:val="32"/>
          <w:lang w:val="en-US" w:eastAsia="zh-CN"/>
        </w:rPr>
        <w:t>10</w:t>
      </w:r>
      <w:r>
        <w:rPr>
          <w:rStyle w:val="21"/>
          <w:rFonts w:hint="eastAsia" w:ascii="仿宋_GB2312" w:hAnsi="仿宋_GB2312" w:eastAsia="仿宋_GB2312" w:cs="仿宋_GB2312"/>
          <w:b w:val="0"/>
          <w:bCs/>
          <w:spacing w:val="-4"/>
          <w:sz w:val="32"/>
          <w:szCs w:val="32"/>
        </w:rPr>
        <w:t>个，满分指标9个，得分率</w:t>
      </w:r>
      <w:r>
        <w:rPr>
          <w:rStyle w:val="21"/>
          <w:rFonts w:hint="eastAsia" w:ascii="仿宋_GB2312" w:hAnsi="仿宋_GB2312" w:eastAsia="仿宋_GB2312" w:cs="仿宋_GB2312"/>
          <w:b w:val="0"/>
          <w:bCs/>
          <w:spacing w:val="-4"/>
          <w:sz w:val="32"/>
          <w:szCs w:val="32"/>
          <w:lang w:val="en-US" w:eastAsia="zh-CN"/>
        </w:rPr>
        <w:t>93</w:t>
      </w:r>
      <w:r>
        <w:rPr>
          <w:rStyle w:val="21"/>
          <w:rFonts w:hint="eastAsia" w:ascii="仿宋_GB2312" w:hAnsi="仿宋_GB2312" w:eastAsia="仿宋_GB2312" w:cs="仿宋_GB2312"/>
          <w:b w:val="0"/>
          <w:bCs/>
          <w:spacing w:val="-4"/>
          <w:sz w:val="32"/>
          <w:szCs w:val="32"/>
        </w:rPr>
        <w:t>%；项目效益指标共设置</w:t>
      </w:r>
      <w:r>
        <w:rPr>
          <w:rStyle w:val="21"/>
          <w:rFonts w:hint="eastAsia" w:ascii="仿宋_GB2312" w:hAnsi="仿宋_GB2312" w:eastAsia="仿宋_GB2312" w:cs="仿宋_GB2312"/>
          <w:b w:val="0"/>
          <w:bCs/>
          <w:spacing w:val="-4"/>
          <w:sz w:val="32"/>
          <w:szCs w:val="32"/>
          <w:lang w:val="en-US" w:eastAsia="zh-CN"/>
        </w:rPr>
        <w:t>2</w:t>
      </w:r>
      <w:r>
        <w:rPr>
          <w:rStyle w:val="21"/>
          <w:rFonts w:hint="eastAsia" w:ascii="仿宋_GB2312" w:hAnsi="仿宋_GB2312" w:eastAsia="仿宋_GB2312" w:cs="仿宋_GB2312"/>
          <w:b w:val="0"/>
          <w:bCs/>
          <w:spacing w:val="-4"/>
          <w:sz w:val="32"/>
          <w:szCs w:val="32"/>
        </w:rPr>
        <w:t>个，满分指标</w:t>
      </w:r>
      <w:r>
        <w:rPr>
          <w:rStyle w:val="21"/>
          <w:rFonts w:hint="eastAsia" w:ascii="仿宋_GB2312" w:hAnsi="仿宋_GB2312" w:eastAsia="仿宋_GB2312" w:cs="仿宋_GB2312"/>
          <w:b w:val="0"/>
          <w:bCs/>
          <w:spacing w:val="-4"/>
          <w:sz w:val="32"/>
          <w:szCs w:val="32"/>
          <w:lang w:val="en-US" w:eastAsia="zh-CN"/>
        </w:rPr>
        <w:t>2</w:t>
      </w:r>
      <w:r>
        <w:rPr>
          <w:rStyle w:val="21"/>
          <w:rFonts w:hint="eastAsia" w:ascii="仿宋_GB2312" w:hAnsi="仿宋_GB2312" w:eastAsia="仿宋_GB2312" w:cs="仿宋_GB2312"/>
          <w:b w:val="0"/>
          <w:bCs/>
          <w:spacing w:val="-4"/>
          <w:sz w:val="32"/>
          <w:szCs w:val="32"/>
        </w:rPr>
        <w:t>个，得分率100.00%。该项目组织比较规范，目标完成情况较好，很大程度上实现了预期目标。最终评分结果为</w:t>
      </w:r>
      <w:r>
        <w:rPr>
          <w:rStyle w:val="21"/>
          <w:rFonts w:hint="eastAsia" w:ascii="仿宋_GB2312" w:hAnsi="仿宋_GB2312" w:eastAsia="仿宋_GB2312" w:cs="仿宋_GB2312"/>
          <w:b w:val="0"/>
          <w:bCs/>
          <w:spacing w:val="-4"/>
          <w:sz w:val="32"/>
          <w:szCs w:val="32"/>
          <w:lang w:val="en-US" w:eastAsia="zh-CN"/>
        </w:rPr>
        <w:t>95.7</w:t>
      </w:r>
      <w:r>
        <w:rPr>
          <w:rStyle w:val="21"/>
          <w:rFonts w:hint="eastAsia" w:ascii="仿宋_GB2312" w:hAnsi="仿宋_GB2312" w:eastAsia="仿宋_GB2312" w:cs="仿宋_GB2312"/>
          <w:b w:val="0"/>
          <w:bCs/>
          <w:spacing w:val="-4"/>
          <w:sz w:val="32"/>
          <w:szCs w:val="32"/>
        </w:rPr>
        <w:t>分，绩效评级为“优”。各部分权重和绩效分值如下表：</w:t>
      </w:r>
    </w:p>
    <w:p>
      <w:pPr>
        <w:keepNext w:val="0"/>
        <w:keepLines w:val="0"/>
        <w:pageBreakBefore w:val="0"/>
        <w:kinsoku/>
        <w:wordWrap/>
        <w:bidi w:val="0"/>
        <w:spacing w:beforeLines="0" w:afterLines="0" w:line="560" w:lineRule="exact"/>
        <w:ind w:right="0" w:rightChars="0"/>
        <w:jc w:val="left"/>
        <w:rPr>
          <w:rFonts w:hint="eastAsia" w:ascii="仿宋_GB2312" w:hAnsi="仿宋_GB2312" w:eastAsia="仿宋_GB2312" w:cs="仿宋_GB2312"/>
          <w:b w:val="0"/>
          <w:bCs/>
          <w:sz w:val="32"/>
          <w:szCs w:val="32"/>
          <w:lang w:val="zh-TW" w:eastAsia="zh-TW"/>
        </w:rPr>
      </w:pPr>
      <w:r>
        <w:rPr>
          <w:rFonts w:hint="eastAsia" w:ascii="仿宋_GB2312" w:hAnsi="仿宋_GB2312" w:eastAsia="仿宋_GB2312" w:cs="仿宋_GB2312"/>
          <w:b w:val="0"/>
          <w:bCs/>
          <w:sz w:val="32"/>
          <w:szCs w:val="32"/>
        </w:rPr>
        <w:t>表1：国有企业资产监督管理综合经费</w:t>
      </w:r>
      <w:r>
        <w:rPr>
          <w:rFonts w:hint="eastAsia" w:ascii="仿宋_GB2312" w:hAnsi="仿宋_GB2312" w:eastAsia="仿宋_GB2312" w:cs="仿宋_GB2312"/>
          <w:b w:val="0"/>
          <w:bCs/>
          <w:sz w:val="32"/>
          <w:szCs w:val="32"/>
          <w:lang w:val="zh-TW" w:eastAsia="zh-TW"/>
        </w:rPr>
        <w:t>项目得分表</w:t>
      </w:r>
    </w:p>
    <w:tbl>
      <w:tblPr>
        <w:tblStyle w:val="19"/>
        <w:tblW w:w="846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4"/>
        <w:gridCol w:w="1611"/>
        <w:gridCol w:w="1613"/>
        <w:gridCol w:w="1613"/>
        <w:gridCol w:w="1613"/>
        <w:gridCol w:w="112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45" w:hRule="atLeast"/>
          <w:jc w:val="center"/>
        </w:trPr>
        <w:tc>
          <w:tcPr>
            <w:tcW w:w="884"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pPr>
              <w:pStyle w:val="49"/>
              <w:keepNext w:val="0"/>
              <w:keepLines w:val="0"/>
              <w:pageBreakBefore w:val="0"/>
              <w:kinsoku/>
              <w:wordWrap/>
              <w:bidi w:val="0"/>
              <w:snapToGrid w:val="0"/>
              <w:spacing w:before="0" w:after="0" w:line="560" w:lineRule="exact"/>
              <w:ind w:right="0" w:rightChars="0"/>
              <w:rPr>
                <w:rFonts w:hint="eastAsia" w:ascii="仿宋_GB2312" w:eastAsia="仿宋_GB2312" w:cs="仿宋_GB2312" w:hAnsiTheme="minorEastAsia"/>
                <w:bCs/>
                <w:sz w:val="24"/>
                <w:szCs w:val="24"/>
              </w:rPr>
            </w:pPr>
            <w:r>
              <w:rPr>
                <w:rFonts w:hint="eastAsia" w:ascii="仿宋_GB2312" w:eastAsia="仿宋_GB2312" w:cs="仿宋_GB2312" w:hAnsiTheme="minorEastAsia"/>
                <w:bCs/>
                <w:sz w:val="24"/>
                <w:szCs w:val="24"/>
                <w:lang w:val="zh-TW" w:eastAsia="zh-TW"/>
              </w:rPr>
              <w:t>指标</w:t>
            </w:r>
          </w:p>
        </w:tc>
        <w:tc>
          <w:tcPr>
            <w:tcW w:w="1611"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pPr>
              <w:pStyle w:val="49"/>
              <w:keepNext w:val="0"/>
              <w:keepLines w:val="0"/>
              <w:pageBreakBefore w:val="0"/>
              <w:kinsoku/>
              <w:wordWrap/>
              <w:bidi w:val="0"/>
              <w:snapToGrid w:val="0"/>
              <w:spacing w:before="0" w:after="0" w:line="560" w:lineRule="exact"/>
              <w:ind w:right="0" w:rightChars="0"/>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1.</w:t>
            </w:r>
            <w:r>
              <w:rPr>
                <w:rFonts w:hint="eastAsia" w:ascii="仿宋_GB2312" w:hAnsi="仿宋_GB2312" w:eastAsia="仿宋_GB2312" w:cs="仿宋_GB2312"/>
                <w:b/>
                <w:bCs/>
                <w:sz w:val="24"/>
                <w:szCs w:val="24"/>
                <w:lang w:val="zh-TW" w:eastAsia="zh-TW"/>
              </w:rPr>
              <w:t>项目决策类</w:t>
            </w:r>
          </w:p>
        </w:tc>
        <w:tc>
          <w:tcPr>
            <w:tcW w:w="161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pPr>
              <w:pStyle w:val="49"/>
              <w:keepNext w:val="0"/>
              <w:keepLines w:val="0"/>
              <w:pageBreakBefore w:val="0"/>
              <w:kinsoku/>
              <w:wordWrap/>
              <w:bidi w:val="0"/>
              <w:snapToGrid w:val="0"/>
              <w:spacing w:before="0" w:after="0" w:line="560" w:lineRule="exact"/>
              <w:ind w:right="0" w:rightChars="0"/>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2.</w:t>
            </w:r>
            <w:r>
              <w:rPr>
                <w:rFonts w:hint="eastAsia" w:ascii="仿宋_GB2312" w:hAnsi="仿宋_GB2312" w:eastAsia="仿宋_GB2312" w:cs="仿宋_GB2312"/>
                <w:b/>
                <w:bCs/>
                <w:sz w:val="24"/>
                <w:szCs w:val="24"/>
                <w:lang w:val="zh-TW" w:eastAsia="zh-TW"/>
              </w:rPr>
              <w:t>项目</w:t>
            </w:r>
            <w:r>
              <w:rPr>
                <w:rFonts w:hint="eastAsia" w:ascii="仿宋_GB2312" w:hAnsi="仿宋_GB2312" w:eastAsia="仿宋_GB2312" w:cs="仿宋_GB2312"/>
                <w:b/>
                <w:bCs/>
                <w:sz w:val="24"/>
                <w:szCs w:val="24"/>
              </w:rPr>
              <w:t>过程</w:t>
            </w:r>
            <w:r>
              <w:rPr>
                <w:rFonts w:hint="eastAsia" w:ascii="仿宋_GB2312" w:hAnsi="仿宋_GB2312" w:eastAsia="仿宋_GB2312" w:cs="仿宋_GB2312"/>
                <w:b/>
                <w:bCs/>
                <w:sz w:val="24"/>
                <w:szCs w:val="24"/>
                <w:lang w:val="zh-TW" w:eastAsia="zh-TW"/>
              </w:rPr>
              <w:t>类</w:t>
            </w:r>
          </w:p>
        </w:tc>
        <w:tc>
          <w:tcPr>
            <w:tcW w:w="161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pPr>
              <w:pStyle w:val="49"/>
              <w:keepNext w:val="0"/>
              <w:keepLines w:val="0"/>
              <w:pageBreakBefore w:val="0"/>
              <w:kinsoku/>
              <w:wordWrap/>
              <w:bidi w:val="0"/>
              <w:snapToGrid w:val="0"/>
              <w:spacing w:before="0" w:after="0" w:line="560" w:lineRule="exact"/>
              <w:ind w:right="0" w:rightChars="0"/>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3.</w:t>
            </w:r>
            <w:r>
              <w:rPr>
                <w:rFonts w:hint="eastAsia" w:ascii="仿宋_GB2312" w:hAnsi="仿宋_GB2312" w:eastAsia="仿宋_GB2312" w:cs="仿宋_GB2312"/>
                <w:b/>
                <w:bCs/>
                <w:sz w:val="24"/>
                <w:szCs w:val="24"/>
                <w:lang w:val="zh-TW" w:eastAsia="zh-TW"/>
              </w:rPr>
              <w:t>项目</w:t>
            </w:r>
            <w:r>
              <w:rPr>
                <w:rFonts w:hint="eastAsia" w:ascii="仿宋_GB2312" w:hAnsi="仿宋_GB2312" w:eastAsia="仿宋_GB2312" w:cs="仿宋_GB2312"/>
                <w:b/>
                <w:bCs/>
                <w:sz w:val="24"/>
                <w:szCs w:val="24"/>
              </w:rPr>
              <w:t>产出</w:t>
            </w:r>
            <w:r>
              <w:rPr>
                <w:rFonts w:hint="eastAsia" w:ascii="仿宋_GB2312" w:hAnsi="仿宋_GB2312" w:eastAsia="仿宋_GB2312" w:cs="仿宋_GB2312"/>
                <w:b/>
                <w:bCs/>
                <w:sz w:val="24"/>
                <w:szCs w:val="24"/>
                <w:lang w:val="zh-TW" w:eastAsia="zh-TW"/>
              </w:rPr>
              <w:t>类</w:t>
            </w:r>
          </w:p>
        </w:tc>
        <w:tc>
          <w:tcPr>
            <w:tcW w:w="161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pPr>
              <w:pStyle w:val="49"/>
              <w:keepNext w:val="0"/>
              <w:keepLines w:val="0"/>
              <w:pageBreakBefore w:val="0"/>
              <w:kinsoku/>
              <w:wordWrap/>
              <w:bidi w:val="0"/>
              <w:snapToGrid w:val="0"/>
              <w:spacing w:before="0" w:after="0" w:line="560" w:lineRule="exact"/>
              <w:ind w:right="0" w:rightChars="0"/>
              <w:rPr>
                <w:rFonts w:ascii="仿宋_GB2312" w:hAnsi="仿宋_GB2312" w:eastAsia="仿宋_GB2312" w:cs="仿宋_GB2312"/>
                <w:b/>
                <w:bCs/>
                <w:sz w:val="24"/>
                <w:szCs w:val="24"/>
                <w:lang w:val="zh-TW" w:eastAsia="zh-TW"/>
              </w:rPr>
            </w:pPr>
            <w:r>
              <w:rPr>
                <w:rFonts w:hint="eastAsia" w:ascii="仿宋_GB2312" w:hAnsi="仿宋_GB2312" w:eastAsia="仿宋_GB2312" w:cs="仿宋_GB2312"/>
                <w:b/>
                <w:bCs/>
                <w:sz w:val="24"/>
                <w:szCs w:val="24"/>
              </w:rPr>
              <w:t>4</w:t>
            </w:r>
            <w:r>
              <w:rPr>
                <w:rFonts w:hint="eastAsia" w:ascii="仿宋_GB2312" w:hAnsi="仿宋_GB2312" w:eastAsia="仿宋_GB2312" w:cs="仿宋_GB2312"/>
                <w:b/>
                <w:bCs/>
                <w:sz w:val="24"/>
                <w:szCs w:val="24"/>
                <w:lang w:val="zh-TW" w:eastAsia="zh-TW"/>
              </w:rPr>
              <w:t>.项目</w:t>
            </w:r>
            <w:r>
              <w:rPr>
                <w:rFonts w:hint="eastAsia" w:ascii="仿宋_GB2312" w:hAnsi="仿宋_GB2312" w:eastAsia="仿宋_GB2312" w:cs="仿宋_GB2312"/>
                <w:b/>
                <w:bCs/>
                <w:sz w:val="24"/>
                <w:szCs w:val="24"/>
              </w:rPr>
              <w:t>效益</w:t>
            </w:r>
            <w:r>
              <w:rPr>
                <w:rFonts w:hint="eastAsia" w:ascii="仿宋_GB2312" w:hAnsi="仿宋_GB2312" w:eastAsia="仿宋_GB2312" w:cs="仿宋_GB2312"/>
                <w:b/>
                <w:bCs/>
                <w:sz w:val="24"/>
                <w:szCs w:val="24"/>
                <w:lang w:val="zh-TW" w:eastAsia="zh-TW"/>
              </w:rPr>
              <w:t>类</w:t>
            </w:r>
          </w:p>
        </w:tc>
        <w:tc>
          <w:tcPr>
            <w:tcW w:w="1129"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pPr>
              <w:pStyle w:val="49"/>
              <w:keepNext w:val="0"/>
              <w:keepLines w:val="0"/>
              <w:pageBreakBefore w:val="0"/>
              <w:kinsoku/>
              <w:wordWrap/>
              <w:bidi w:val="0"/>
              <w:snapToGrid w:val="0"/>
              <w:spacing w:before="0" w:after="0" w:line="560" w:lineRule="exact"/>
              <w:ind w:right="0" w:rightChars="0"/>
              <w:rPr>
                <w:rFonts w:hint="eastAsia" w:ascii="仿宋_GB2312" w:eastAsia="仿宋_GB2312" w:cs="仿宋_GB2312" w:hAnsiTheme="minorEastAsia"/>
                <w:b/>
                <w:bCs/>
                <w:sz w:val="24"/>
                <w:szCs w:val="24"/>
              </w:rPr>
            </w:pPr>
            <w:r>
              <w:rPr>
                <w:rFonts w:hint="eastAsia" w:ascii="仿宋_GB2312" w:eastAsia="仿宋_GB2312" w:cs="仿宋_GB2312" w:hAnsiTheme="minorEastAsia"/>
                <w:b/>
                <w:bCs/>
                <w:sz w:val="24"/>
                <w:szCs w:val="24"/>
                <w:lang w:val="zh-TW" w:eastAsia="zh-TW"/>
              </w:rPr>
              <w:t>合计分值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30" w:hRule="atLeast"/>
          <w:jc w:val="center"/>
        </w:trPr>
        <w:tc>
          <w:tcPr>
            <w:tcW w:w="884"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pPr>
              <w:pStyle w:val="49"/>
              <w:keepNext w:val="0"/>
              <w:keepLines w:val="0"/>
              <w:pageBreakBefore w:val="0"/>
              <w:kinsoku/>
              <w:wordWrap/>
              <w:bidi w:val="0"/>
              <w:snapToGrid w:val="0"/>
              <w:spacing w:before="0" w:after="0" w:line="560" w:lineRule="exact"/>
              <w:ind w:right="0" w:rightChars="0"/>
              <w:rPr>
                <w:rFonts w:hint="eastAsia" w:ascii="仿宋_GB2312" w:eastAsia="仿宋_GB2312" w:cs="仿宋_GB2312" w:hAnsiTheme="minorEastAsia"/>
                <w:sz w:val="24"/>
                <w:szCs w:val="24"/>
              </w:rPr>
            </w:pPr>
            <w:r>
              <w:rPr>
                <w:rFonts w:hint="eastAsia" w:ascii="仿宋_GB2312" w:eastAsia="仿宋_GB2312" w:cs="仿宋_GB2312" w:hAnsiTheme="minorEastAsia"/>
                <w:sz w:val="24"/>
                <w:szCs w:val="24"/>
                <w:lang w:val="zh-TW" w:eastAsia="zh-TW"/>
              </w:rPr>
              <w:t>权重</w:t>
            </w:r>
          </w:p>
        </w:tc>
        <w:tc>
          <w:tcPr>
            <w:tcW w:w="161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pStyle w:val="49"/>
              <w:keepNext w:val="0"/>
              <w:keepLines w:val="0"/>
              <w:pageBreakBefore w:val="0"/>
              <w:kinsoku/>
              <w:wordWrap/>
              <w:bidi w:val="0"/>
              <w:snapToGrid w:val="0"/>
              <w:spacing w:before="0" w:after="0" w:line="560" w:lineRule="exact"/>
              <w:ind w:right="0" w:rightChars="0"/>
              <w:jc w:val="center"/>
              <w:rPr>
                <w:rFonts w:hint="eastAsia" w:ascii="仿宋_GB2312" w:eastAsia="仿宋_GB2312" w:cs="仿宋_GB2312" w:hAnsiTheme="minorEastAsia"/>
                <w:color w:val="auto"/>
                <w:sz w:val="24"/>
                <w:szCs w:val="24"/>
              </w:rPr>
            </w:pPr>
            <w:r>
              <w:rPr>
                <w:rFonts w:hint="eastAsia" w:ascii="仿宋_GB2312" w:eastAsia="仿宋_GB2312" w:cs="仿宋_GB2312" w:hAnsiTheme="minorEastAsia"/>
                <w:sz w:val="24"/>
                <w:szCs w:val="24"/>
              </w:rPr>
              <w:t>15.00</w:t>
            </w:r>
          </w:p>
        </w:tc>
        <w:tc>
          <w:tcPr>
            <w:tcW w:w="1613"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pStyle w:val="49"/>
              <w:keepNext w:val="0"/>
              <w:keepLines w:val="0"/>
              <w:pageBreakBefore w:val="0"/>
              <w:kinsoku/>
              <w:wordWrap/>
              <w:bidi w:val="0"/>
              <w:snapToGrid w:val="0"/>
              <w:spacing w:before="0" w:after="0" w:line="560" w:lineRule="exact"/>
              <w:ind w:right="0" w:rightChars="0"/>
              <w:jc w:val="center"/>
              <w:rPr>
                <w:rFonts w:hint="eastAsia" w:ascii="仿宋_GB2312" w:eastAsia="仿宋_GB2312" w:cs="仿宋_GB2312" w:hAnsiTheme="minorEastAsia"/>
                <w:color w:val="auto"/>
                <w:sz w:val="24"/>
                <w:szCs w:val="24"/>
              </w:rPr>
            </w:pPr>
            <w:r>
              <w:rPr>
                <w:rFonts w:hint="eastAsia" w:ascii="仿宋_GB2312" w:eastAsia="仿宋_GB2312" w:cs="仿宋_GB2312" w:hAnsiTheme="minorEastAsia"/>
                <w:sz w:val="24"/>
                <w:szCs w:val="24"/>
              </w:rPr>
              <w:t>20.00</w:t>
            </w:r>
          </w:p>
        </w:tc>
        <w:tc>
          <w:tcPr>
            <w:tcW w:w="1613"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pStyle w:val="49"/>
              <w:keepNext w:val="0"/>
              <w:keepLines w:val="0"/>
              <w:pageBreakBefore w:val="0"/>
              <w:kinsoku/>
              <w:wordWrap/>
              <w:bidi w:val="0"/>
              <w:snapToGrid w:val="0"/>
              <w:spacing w:before="0" w:after="0" w:line="560" w:lineRule="exact"/>
              <w:ind w:right="0" w:rightChars="0"/>
              <w:jc w:val="center"/>
              <w:rPr>
                <w:rFonts w:hint="eastAsia" w:ascii="仿宋_GB2312" w:eastAsia="仿宋_GB2312" w:cs="仿宋_GB2312" w:hAnsiTheme="minorEastAsia"/>
                <w:color w:val="auto"/>
                <w:sz w:val="24"/>
                <w:szCs w:val="24"/>
              </w:rPr>
            </w:pPr>
            <w:r>
              <w:rPr>
                <w:rFonts w:hint="eastAsia" w:ascii="仿宋_GB2312" w:eastAsia="仿宋_GB2312" w:cs="仿宋_GB2312" w:hAnsiTheme="minorEastAsia"/>
                <w:sz w:val="24"/>
                <w:szCs w:val="24"/>
              </w:rPr>
              <w:t>30.00</w:t>
            </w:r>
          </w:p>
        </w:tc>
        <w:tc>
          <w:tcPr>
            <w:tcW w:w="1613"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pStyle w:val="49"/>
              <w:keepNext w:val="0"/>
              <w:keepLines w:val="0"/>
              <w:pageBreakBefore w:val="0"/>
              <w:kinsoku/>
              <w:wordWrap/>
              <w:bidi w:val="0"/>
              <w:snapToGrid w:val="0"/>
              <w:spacing w:before="0" w:after="0" w:line="560" w:lineRule="exact"/>
              <w:ind w:right="0" w:rightChars="0"/>
              <w:jc w:val="center"/>
              <w:rPr>
                <w:rFonts w:hint="eastAsia" w:ascii="仿宋_GB2312" w:eastAsia="仿宋_GB2312" w:cs="仿宋_GB2312" w:hAnsiTheme="minorEastAsia"/>
                <w:color w:val="auto"/>
                <w:sz w:val="24"/>
                <w:szCs w:val="24"/>
              </w:rPr>
            </w:pPr>
            <w:r>
              <w:rPr>
                <w:rFonts w:hint="eastAsia" w:ascii="仿宋_GB2312" w:eastAsia="仿宋_GB2312" w:cs="仿宋_GB2312" w:hAnsiTheme="minorEastAsia"/>
                <w:sz w:val="24"/>
                <w:szCs w:val="24"/>
              </w:rPr>
              <w:t>35.00</w:t>
            </w:r>
          </w:p>
        </w:tc>
        <w:tc>
          <w:tcPr>
            <w:tcW w:w="1129"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pStyle w:val="49"/>
              <w:keepNext w:val="0"/>
              <w:keepLines w:val="0"/>
              <w:pageBreakBefore w:val="0"/>
              <w:kinsoku/>
              <w:wordWrap/>
              <w:bidi w:val="0"/>
              <w:snapToGrid w:val="0"/>
              <w:spacing w:before="0" w:after="0" w:line="560" w:lineRule="exact"/>
              <w:ind w:right="0" w:rightChars="0"/>
              <w:jc w:val="center"/>
              <w:rPr>
                <w:rFonts w:hint="eastAsia" w:ascii="仿宋_GB2312" w:eastAsia="仿宋_GB2312" w:cs="仿宋_GB2312" w:hAnsiTheme="minorEastAsia"/>
                <w:color w:val="auto"/>
                <w:sz w:val="24"/>
                <w:szCs w:val="24"/>
              </w:rPr>
            </w:pPr>
            <w:r>
              <w:rPr>
                <w:rFonts w:hint="eastAsia" w:ascii="仿宋_GB2312" w:eastAsia="仿宋_GB2312" w:cs="仿宋_GB2312" w:hAnsiTheme="minorEastAsia"/>
                <w:sz w:val="24"/>
                <w:szCs w:val="24"/>
              </w:rPr>
              <w:t>100.00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40" w:hRule="atLeast"/>
          <w:jc w:val="center"/>
        </w:trPr>
        <w:tc>
          <w:tcPr>
            <w:tcW w:w="884"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pPr>
              <w:pStyle w:val="49"/>
              <w:keepNext w:val="0"/>
              <w:keepLines w:val="0"/>
              <w:pageBreakBefore w:val="0"/>
              <w:kinsoku/>
              <w:wordWrap/>
              <w:bidi w:val="0"/>
              <w:snapToGrid w:val="0"/>
              <w:spacing w:before="0" w:after="0" w:line="560" w:lineRule="exact"/>
              <w:ind w:right="0" w:rightChars="0"/>
              <w:rPr>
                <w:rFonts w:hint="eastAsia" w:ascii="仿宋_GB2312" w:eastAsia="仿宋_GB2312" w:cs="仿宋_GB2312" w:hAnsiTheme="minorEastAsia"/>
                <w:sz w:val="24"/>
                <w:szCs w:val="24"/>
              </w:rPr>
            </w:pPr>
            <w:r>
              <w:rPr>
                <w:rFonts w:hint="eastAsia" w:ascii="仿宋_GB2312" w:eastAsia="仿宋_GB2312" w:cs="仿宋_GB2312" w:hAnsiTheme="minorEastAsia"/>
                <w:sz w:val="24"/>
                <w:szCs w:val="24"/>
              </w:rPr>
              <w:t>得分</w:t>
            </w:r>
          </w:p>
        </w:tc>
        <w:tc>
          <w:tcPr>
            <w:tcW w:w="161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49"/>
              <w:keepNext w:val="0"/>
              <w:keepLines w:val="0"/>
              <w:pageBreakBefore w:val="0"/>
              <w:kinsoku/>
              <w:wordWrap/>
              <w:bidi w:val="0"/>
              <w:snapToGrid w:val="0"/>
              <w:spacing w:before="0" w:after="0" w:line="560" w:lineRule="exact"/>
              <w:ind w:right="0" w:rightChars="0"/>
              <w:jc w:val="center"/>
              <w:rPr>
                <w:rFonts w:hint="eastAsia" w:ascii="仿宋_GB2312" w:eastAsia="仿宋_GB2312" w:cs="仿宋_GB2312" w:hAnsiTheme="minorEastAsia"/>
                <w:color w:val="auto"/>
                <w:sz w:val="24"/>
                <w:szCs w:val="24"/>
                <w:lang w:val="en-US"/>
              </w:rPr>
            </w:pPr>
            <w:r>
              <w:rPr>
                <w:rFonts w:hint="eastAsia" w:ascii="仿宋_GB2312" w:eastAsia="仿宋_GB2312" w:cs="仿宋_GB2312" w:hAnsiTheme="minorEastAsia"/>
                <w:sz w:val="24"/>
                <w:szCs w:val="24"/>
                <w:lang w:val="en-US" w:eastAsia="zh-CN"/>
              </w:rPr>
              <w:t>13.50</w:t>
            </w:r>
          </w:p>
        </w:tc>
        <w:tc>
          <w:tcPr>
            <w:tcW w:w="16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49"/>
              <w:keepNext w:val="0"/>
              <w:keepLines w:val="0"/>
              <w:pageBreakBefore w:val="0"/>
              <w:kinsoku/>
              <w:wordWrap/>
              <w:bidi w:val="0"/>
              <w:snapToGrid w:val="0"/>
              <w:spacing w:before="0" w:after="0" w:line="560" w:lineRule="exact"/>
              <w:ind w:right="0" w:rightChars="0"/>
              <w:jc w:val="center"/>
              <w:rPr>
                <w:rFonts w:hint="eastAsia" w:ascii="仿宋_GB2312" w:eastAsia="仿宋_GB2312" w:cs="仿宋_GB2312" w:hAnsiTheme="minorEastAsia"/>
                <w:color w:val="auto"/>
                <w:sz w:val="24"/>
                <w:szCs w:val="24"/>
                <w:lang w:val="en-US" w:eastAsia="zh-CN"/>
              </w:rPr>
            </w:pPr>
            <w:r>
              <w:rPr>
                <w:rFonts w:hint="eastAsia" w:ascii="仿宋_GB2312" w:eastAsia="仿宋_GB2312" w:cs="仿宋_GB2312" w:hAnsiTheme="minorEastAsia"/>
                <w:sz w:val="24"/>
                <w:szCs w:val="24"/>
                <w:lang w:val="en-US" w:eastAsia="zh-CN"/>
              </w:rPr>
              <w:t>19.20</w:t>
            </w:r>
          </w:p>
        </w:tc>
        <w:tc>
          <w:tcPr>
            <w:tcW w:w="16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49"/>
              <w:keepNext w:val="0"/>
              <w:keepLines w:val="0"/>
              <w:pageBreakBefore w:val="0"/>
              <w:kinsoku/>
              <w:wordWrap/>
              <w:bidi w:val="0"/>
              <w:snapToGrid w:val="0"/>
              <w:spacing w:before="0" w:after="0" w:line="560" w:lineRule="exact"/>
              <w:ind w:right="0" w:rightChars="0"/>
              <w:jc w:val="center"/>
              <w:rPr>
                <w:rFonts w:hint="eastAsia" w:ascii="仿宋_GB2312" w:eastAsia="仿宋_GB2312" w:cs="仿宋_GB2312" w:hAnsiTheme="minorEastAsia"/>
                <w:color w:val="auto"/>
                <w:sz w:val="24"/>
                <w:szCs w:val="24"/>
                <w:lang w:val="en-US" w:eastAsia="zh-CN"/>
              </w:rPr>
            </w:pPr>
            <w:r>
              <w:rPr>
                <w:rFonts w:hint="eastAsia" w:ascii="仿宋_GB2312" w:eastAsia="仿宋_GB2312" w:cs="仿宋_GB2312" w:hAnsiTheme="minorEastAsia"/>
                <w:sz w:val="24"/>
                <w:szCs w:val="24"/>
                <w:lang w:val="en-US" w:eastAsia="zh-CN"/>
              </w:rPr>
              <w:t>28.00</w:t>
            </w:r>
          </w:p>
        </w:tc>
        <w:tc>
          <w:tcPr>
            <w:tcW w:w="161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pPr>
              <w:pStyle w:val="49"/>
              <w:keepNext w:val="0"/>
              <w:keepLines w:val="0"/>
              <w:pageBreakBefore w:val="0"/>
              <w:kinsoku/>
              <w:wordWrap/>
              <w:bidi w:val="0"/>
              <w:snapToGrid w:val="0"/>
              <w:spacing w:before="0" w:after="0" w:line="560" w:lineRule="exact"/>
              <w:ind w:right="0" w:rightChars="0"/>
              <w:jc w:val="center"/>
              <w:rPr>
                <w:rFonts w:hint="eastAsia" w:ascii="仿宋_GB2312" w:eastAsia="仿宋_GB2312" w:cs="仿宋_GB2312" w:hAnsiTheme="minorEastAsia"/>
                <w:color w:val="auto"/>
                <w:sz w:val="24"/>
                <w:szCs w:val="24"/>
              </w:rPr>
            </w:pPr>
            <w:r>
              <w:rPr>
                <w:rFonts w:hint="eastAsia" w:ascii="仿宋_GB2312" w:eastAsia="仿宋_GB2312" w:cs="仿宋_GB2312" w:hAnsiTheme="minorEastAsia"/>
                <w:sz w:val="24"/>
                <w:szCs w:val="24"/>
              </w:rPr>
              <w:t>35.00</w:t>
            </w:r>
          </w:p>
        </w:tc>
        <w:tc>
          <w:tcPr>
            <w:tcW w:w="1129"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pPr>
              <w:pStyle w:val="49"/>
              <w:keepNext w:val="0"/>
              <w:keepLines w:val="0"/>
              <w:pageBreakBefore w:val="0"/>
              <w:kinsoku/>
              <w:wordWrap/>
              <w:bidi w:val="0"/>
              <w:snapToGrid w:val="0"/>
              <w:spacing w:before="0" w:after="0" w:line="560" w:lineRule="exact"/>
              <w:ind w:right="0" w:rightChars="0"/>
              <w:jc w:val="center"/>
              <w:rPr>
                <w:rFonts w:hint="eastAsia" w:ascii="仿宋_GB2312" w:eastAsia="仿宋_GB2312" w:cs="仿宋_GB2312" w:hAnsiTheme="minorEastAsia"/>
                <w:color w:val="auto"/>
                <w:sz w:val="24"/>
                <w:szCs w:val="24"/>
                <w:lang w:val="en-US" w:eastAsia="zh-CN"/>
              </w:rPr>
            </w:pPr>
            <w:r>
              <w:rPr>
                <w:rFonts w:hint="eastAsia" w:ascii="仿宋_GB2312" w:eastAsia="仿宋_GB2312" w:cs="仿宋_GB2312" w:hAnsiTheme="minorEastAsia"/>
                <w:sz w:val="24"/>
                <w:szCs w:val="24"/>
                <w:lang w:val="en-US" w:eastAsia="zh-CN"/>
              </w:rPr>
              <w:t>95.70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75" w:hRule="atLeast"/>
          <w:jc w:val="center"/>
        </w:trPr>
        <w:tc>
          <w:tcPr>
            <w:tcW w:w="884"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pPr>
              <w:pStyle w:val="49"/>
              <w:keepNext w:val="0"/>
              <w:keepLines w:val="0"/>
              <w:pageBreakBefore w:val="0"/>
              <w:kinsoku/>
              <w:wordWrap/>
              <w:bidi w:val="0"/>
              <w:snapToGrid w:val="0"/>
              <w:spacing w:before="0" w:after="0" w:line="560" w:lineRule="exact"/>
              <w:ind w:right="0" w:rightChars="0"/>
              <w:rPr>
                <w:rFonts w:hint="eastAsia" w:ascii="仿宋_GB2312" w:eastAsia="仿宋_GB2312" w:cs="仿宋_GB2312" w:hAnsiTheme="minorEastAsia"/>
                <w:sz w:val="24"/>
                <w:szCs w:val="24"/>
              </w:rPr>
            </w:pPr>
            <w:r>
              <w:rPr>
                <w:rFonts w:hint="eastAsia" w:ascii="仿宋_GB2312" w:eastAsia="仿宋_GB2312" w:cs="仿宋_GB2312" w:hAnsiTheme="minorEastAsia"/>
                <w:sz w:val="24"/>
                <w:szCs w:val="24"/>
              </w:rPr>
              <w:t>得分率</w:t>
            </w:r>
          </w:p>
        </w:tc>
        <w:tc>
          <w:tcPr>
            <w:tcW w:w="161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49"/>
              <w:keepNext w:val="0"/>
              <w:keepLines w:val="0"/>
              <w:pageBreakBefore w:val="0"/>
              <w:kinsoku/>
              <w:wordWrap/>
              <w:bidi w:val="0"/>
              <w:snapToGrid w:val="0"/>
              <w:spacing w:before="0" w:after="0" w:line="560" w:lineRule="exact"/>
              <w:ind w:right="0" w:rightChars="0"/>
              <w:jc w:val="center"/>
              <w:rPr>
                <w:rFonts w:hint="eastAsia" w:ascii="仿宋_GB2312" w:eastAsia="仿宋_GB2312" w:cs="仿宋_GB2312" w:hAnsiTheme="minorEastAsia"/>
                <w:color w:val="auto"/>
                <w:sz w:val="24"/>
                <w:szCs w:val="24"/>
              </w:rPr>
            </w:pPr>
            <w:r>
              <w:rPr>
                <w:rFonts w:hint="eastAsia" w:ascii="仿宋_GB2312" w:eastAsia="仿宋_GB2312" w:cs="仿宋_GB2312" w:hAnsiTheme="minorEastAsia"/>
                <w:sz w:val="24"/>
                <w:szCs w:val="24"/>
                <w:lang w:val="en-US" w:eastAsia="zh-CN"/>
              </w:rPr>
              <w:t>90</w:t>
            </w:r>
            <w:r>
              <w:rPr>
                <w:rFonts w:hint="eastAsia" w:ascii="仿宋_GB2312" w:eastAsia="仿宋_GB2312" w:cs="仿宋_GB2312" w:hAnsiTheme="minorEastAsia"/>
                <w:sz w:val="24"/>
                <w:szCs w:val="24"/>
              </w:rPr>
              <w:t>%</w:t>
            </w:r>
          </w:p>
        </w:tc>
        <w:tc>
          <w:tcPr>
            <w:tcW w:w="16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49"/>
              <w:keepNext w:val="0"/>
              <w:keepLines w:val="0"/>
              <w:pageBreakBefore w:val="0"/>
              <w:kinsoku/>
              <w:wordWrap/>
              <w:bidi w:val="0"/>
              <w:snapToGrid w:val="0"/>
              <w:spacing w:before="0" w:after="0" w:line="560" w:lineRule="exact"/>
              <w:ind w:right="0" w:rightChars="0"/>
              <w:jc w:val="center"/>
              <w:rPr>
                <w:rFonts w:hint="eastAsia" w:ascii="仿宋_GB2312" w:eastAsia="仿宋_GB2312" w:cs="仿宋_GB2312" w:hAnsiTheme="minorEastAsia"/>
                <w:color w:val="auto"/>
                <w:sz w:val="24"/>
                <w:szCs w:val="24"/>
              </w:rPr>
            </w:pPr>
            <w:r>
              <w:rPr>
                <w:rFonts w:hint="eastAsia" w:ascii="仿宋_GB2312" w:eastAsia="仿宋_GB2312" w:cs="仿宋_GB2312" w:hAnsiTheme="minorEastAsia"/>
                <w:sz w:val="24"/>
                <w:szCs w:val="24"/>
                <w:lang w:val="en-US" w:eastAsia="zh-CN"/>
              </w:rPr>
              <w:t>96</w:t>
            </w:r>
            <w:r>
              <w:rPr>
                <w:rFonts w:hint="eastAsia" w:ascii="仿宋_GB2312" w:eastAsia="仿宋_GB2312" w:cs="仿宋_GB2312" w:hAnsiTheme="minorEastAsia"/>
                <w:sz w:val="24"/>
                <w:szCs w:val="24"/>
              </w:rPr>
              <w:t>%</w:t>
            </w:r>
          </w:p>
        </w:tc>
        <w:tc>
          <w:tcPr>
            <w:tcW w:w="16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49"/>
              <w:keepNext w:val="0"/>
              <w:keepLines w:val="0"/>
              <w:pageBreakBefore w:val="0"/>
              <w:kinsoku/>
              <w:wordWrap/>
              <w:bidi w:val="0"/>
              <w:snapToGrid w:val="0"/>
              <w:spacing w:before="0" w:after="0" w:line="560" w:lineRule="exact"/>
              <w:ind w:right="0" w:rightChars="0"/>
              <w:jc w:val="center"/>
              <w:rPr>
                <w:rFonts w:hint="eastAsia" w:ascii="仿宋_GB2312" w:eastAsia="仿宋_GB2312" w:cs="仿宋_GB2312" w:hAnsiTheme="minorEastAsia"/>
                <w:color w:val="auto"/>
                <w:sz w:val="24"/>
                <w:szCs w:val="24"/>
              </w:rPr>
            </w:pPr>
            <w:r>
              <w:rPr>
                <w:rFonts w:hint="eastAsia" w:ascii="仿宋_GB2312" w:eastAsia="仿宋_GB2312" w:cs="仿宋_GB2312" w:hAnsiTheme="minorEastAsia"/>
                <w:sz w:val="24"/>
                <w:szCs w:val="24"/>
                <w:lang w:val="en-US" w:eastAsia="zh-CN"/>
              </w:rPr>
              <w:t>93</w:t>
            </w:r>
            <w:r>
              <w:rPr>
                <w:rFonts w:hint="eastAsia" w:ascii="仿宋_GB2312" w:eastAsia="仿宋_GB2312" w:cs="仿宋_GB2312" w:hAnsiTheme="minorEastAsia"/>
                <w:sz w:val="24"/>
                <w:szCs w:val="24"/>
              </w:rPr>
              <w:t>%</w:t>
            </w:r>
          </w:p>
        </w:tc>
        <w:tc>
          <w:tcPr>
            <w:tcW w:w="161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pPr>
              <w:pStyle w:val="49"/>
              <w:keepNext w:val="0"/>
              <w:keepLines w:val="0"/>
              <w:pageBreakBefore w:val="0"/>
              <w:kinsoku/>
              <w:wordWrap/>
              <w:bidi w:val="0"/>
              <w:snapToGrid w:val="0"/>
              <w:spacing w:before="0" w:after="0" w:line="560" w:lineRule="exact"/>
              <w:ind w:right="0" w:rightChars="0"/>
              <w:jc w:val="center"/>
              <w:rPr>
                <w:rFonts w:hint="eastAsia" w:ascii="仿宋_GB2312" w:eastAsia="仿宋_GB2312" w:cs="仿宋_GB2312" w:hAnsiTheme="minorEastAsia"/>
                <w:color w:val="auto"/>
                <w:sz w:val="24"/>
                <w:szCs w:val="24"/>
              </w:rPr>
            </w:pPr>
            <w:r>
              <w:rPr>
                <w:rFonts w:hint="eastAsia" w:ascii="仿宋_GB2312" w:eastAsia="仿宋_GB2312" w:cs="仿宋_GB2312" w:hAnsiTheme="minorEastAsia"/>
                <w:sz w:val="24"/>
                <w:szCs w:val="24"/>
              </w:rPr>
              <w:t>100.00%</w:t>
            </w:r>
          </w:p>
        </w:tc>
        <w:tc>
          <w:tcPr>
            <w:tcW w:w="1129"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pPr>
              <w:pStyle w:val="49"/>
              <w:keepNext w:val="0"/>
              <w:keepLines w:val="0"/>
              <w:pageBreakBefore w:val="0"/>
              <w:kinsoku/>
              <w:wordWrap/>
              <w:bidi w:val="0"/>
              <w:snapToGrid w:val="0"/>
              <w:spacing w:before="0" w:after="0" w:line="560" w:lineRule="exact"/>
              <w:ind w:right="0" w:rightChars="0"/>
              <w:jc w:val="center"/>
              <w:rPr>
                <w:rFonts w:hint="eastAsia" w:ascii="仿宋_GB2312" w:eastAsia="仿宋_GB2312" w:cs="仿宋_GB2312" w:hAnsiTheme="minorEastAsia"/>
                <w:color w:val="auto"/>
                <w:sz w:val="24"/>
                <w:szCs w:val="24"/>
              </w:rPr>
            </w:pPr>
            <w:r>
              <w:rPr>
                <w:rFonts w:hint="eastAsia" w:ascii="仿宋_GB2312" w:eastAsia="仿宋_GB2312" w:cs="仿宋_GB2312" w:hAnsiTheme="minorEastAsia"/>
                <w:sz w:val="24"/>
                <w:szCs w:val="24"/>
                <w:lang w:val="en-US" w:eastAsia="zh-CN"/>
              </w:rPr>
              <w:t>95.70</w:t>
            </w:r>
            <w:r>
              <w:rPr>
                <w:rFonts w:hint="eastAsia" w:ascii="仿宋_GB2312" w:eastAsia="仿宋_GB2312" w:cs="仿宋_GB2312" w:hAnsiTheme="minorEastAsia"/>
                <w:sz w:val="24"/>
                <w:szCs w:val="24"/>
              </w:rPr>
              <w:t>%</w:t>
            </w:r>
          </w:p>
        </w:tc>
      </w:tr>
    </w:tbl>
    <w:p>
      <w:pPr>
        <w:keepNext w:val="0"/>
        <w:keepLines w:val="0"/>
        <w:pageBreakBefore w:val="0"/>
        <w:widowControl w:val="0"/>
        <w:kinsoku/>
        <w:wordWrap/>
        <w:overflowPunct/>
        <w:topLinePunct w:val="0"/>
        <w:autoSpaceDE/>
        <w:autoSpaceDN/>
        <w:bidi w:val="0"/>
        <w:adjustRightInd/>
        <w:snapToGrid/>
        <w:spacing w:line="600" w:lineRule="exact"/>
        <w:ind w:right="0" w:rightChars="0" w:firstLine="640"/>
        <w:textAlignment w:val="auto"/>
        <w:outlineLvl w:val="9"/>
        <w:rPr>
          <w:rStyle w:val="21"/>
          <w:rFonts w:hint="eastAsia" w:ascii="黑体" w:hAnsi="黑体" w:eastAsia="黑体" w:cs="黑体"/>
          <w:b w:val="0"/>
          <w:bCs/>
          <w:sz w:val="32"/>
          <w:szCs w:val="32"/>
        </w:rPr>
      </w:pPr>
      <w:r>
        <w:rPr>
          <w:rStyle w:val="21"/>
          <w:rFonts w:hint="eastAsia" w:ascii="黑体" w:hAnsi="黑体" w:eastAsia="黑体" w:cs="黑体"/>
          <w:b w:val="0"/>
          <w:bCs/>
          <w:spacing w:val="-4"/>
          <w:sz w:val="32"/>
          <w:szCs w:val="32"/>
        </w:rPr>
        <w:t xml:space="preserve">四、绩效评价指标分析 </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564" w:firstLineChars="181"/>
        <w:textAlignment w:val="auto"/>
        <w:outlineLvl w:val="9"/>
        <w:rPr>
          <w:rFonts w:hint="eastAsia" w:ascii="楷体_GB2312" w:hAnsi="楷体_GB2312" w:eastAsia="楷体_GB2312" w:cs="楷体_GB2312"/>
          <w:b w:val="0"/>
          <w:bCs/>
          <w:spacing w:val="-4"/>
          <w:sz w:val="32"/>
          <w:szCs w:val="32"/>
        </w:rPr>
      </w:pPr>
      <w:r>
        <w:rPr>
          <w:rFonts w:hint="eastAsia" w:ascii="楷体_GB2312" w:hAnsi="楷体_GB2312" w:eastAsia="楷体_GB2312" w:cs="楷体_GB2312"/>
          <w:b w:val="0"/>
          <w:bCs/>
          <w:spacing w:val="-4"/>
          <w:sz w:val="32"/>
          <w:szCs w:val="32"/>
        </w:rPr>
        <w:t>（一）项目决策情况。</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567"/>
        <w:jc w:val="left"/>
        <w:textAlignment w:val="auto"/>
        <w:outlineLvl w:val="9"/>
        <w:rPr>
          <w:rStyle w:val="21"/>
          <w:rFonts w:hint="eastAsia" w:ascii="仿宋_GB2312" w:hAnsi="仿宋_GB2312" w:eastAsia="仿宋_GB2312" w:cs="仿宋_GB2312"/>
          <w:b w:val="0"/>
          <w:bCs/>
          <w:spacing w:val="-4"/>
          <w:sz w:val="32"/>
          <w:szCs w:val="32"/>
        </w:rPr>
      </w:pPr>
      <w:r>
        <w:rPr>
          <w:rStyle w:val="21"/>
          <w:rFonts w:hint="eastAsia" w:ascii="仿宋_GB2312" w:hAnsi="仿宋_GB2312" w:eastAsia="仿宋_GB2312" w:cs="仿宋_GB2312"/>
          <w:b w:val="0"/>
          <w:bCs/>
          <w:spacing w:val="-4"/>
          <w:sz w:val="32"/>
          <w:szCs w:val="32"/>
        </w:rPr>
        <w:t>项目决策类指标由3 个二级指标和6 个三级指标构成，权重分15.00 分，实际得分1</w:t>
      </w:r>
      <w:r>
        <w:rPr>
          <w:rStyle w:val="21"/>
          <w:rFonts w:hint="eastAsia" w:ascii="仿宋_GB2312" w:hAnsi="仿宋_GB2312" w:eastAsia="仿宋_GB2312" w:cs="仿宋_GB2312"/>
          <w:b w:val="0"/>
          <w:bCs/>
          <w:spacing w:val="-4"/>
          <w:sz w:val="32"/>
          <w:szCs w:val="32"/>
          <w:lang w:val="en-US" w:eastAsia="zh-CN"/>
        </w:rPr>
        <w:t>3</w:t>
      </w:r>
      <w:r>
        <w:rPr>
          <w:rStyle w:val="21"/>
          <w:rFonts w:hint="eastAsia" w:ascii="仿宋_GB2312" w:hAnsi="仿宋_GB2312" w:eastAsia="仿宋_GB2312" w:cs="仿宋_GB2312"/>
          <w:b w:val="0"/>
          <w:bCs/>
          <w:spacing w:val="-4"/>
          <w:sz w:val="32"/>
          <w:szCs w:val="32"/>
        </w:rPr>
        <w:t>.</w:t>
      </w:r>
      <w:r>
        <w:rPr>
          <w:rStyle w:val="21"/>
          <w:rFonts w:hint="eastAsia" w:ascii="仿宋_GB2312" w:hAnsi="仿宋_GB2312" w:eastAsia="仿宋_GB2312" w:cs="仿宋_GB2312"/>
          <w:b w:val="0"/>
          <w:bCs/>
          <w:spacing w:val="-4"/>
          <w:sz w:val="32"/>
          <w:szCs w:val="32"/>
          <w:lang w:val="en-US" w:eastAsia="zh-CN"/>
        </w:rPr>
        <w:t>5</w:t>
      </w:r>
      <w:r>
        <w:rPr>
          <w:rStyle w:val="21"/>
          <w:rFonts w:hint="eastAsia" w:ascii="仿宋_GB2312" w:hAnsi="仿宋_GB2312" w:eastAsia="仿宋_GB2312" w:cs="仿宋_GB2312"/>
          <w:b w:val="0"/>
          <w:bCs/>
          <w:spacing w:val="-4"/>
          <w:sz w:val="32"/>
          <w:szCs w:val="32"/>
        </w:rPr>
        <w:t>0 分。各指标业绩值和绩效分值如下表所示：</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567"/>
        <w:jc w:val="left"/>
        <w:textAlignment w:val="auto"/>
        <w:outlineLvl w:val="9"/>
        <w:rPr>
          <w:rStyle w:val="21"/>
          <w:rFonts w:hint="eastAsia" w:ascii="仿宋_GB2312" w:hAnsi="仿宋_GB2312" w:eastAsia="仿宋_GB2312" w:cs="仿宋_GB2312"/>
          <w:b w:val="0"/>
          <w:bCs/>
          <w:spacing w:val="-4"/>
          <w:sz w:val="32"/>
          <w:szCs w:val="32"/>
        </w:rPr>
      </w:pPr>
      <w:r>
        <w:rPr>
          <w:rStyle w:val="21"/>
          <w:rFonts w:hint="eastAsia" w:ascii="仿宋_GB2312" w:hAnsi="仿宋_GB2312" w:eastAsia="仿宋_GB2312" w:cs="仿宋_GB2312"/>
          <w:b w:val="0"/>
          <w:bCs/>
          <w:spacing w:val="-4"/>
          <w:sz w:val="32"/>
          <w:szCs w:val="32"/>
        </w:rPr>
        <w:t>表2：项目决策类指标及分值</w:t>
      </w:r>
    </w:p>
    <w:tbl>
      <w:tblPr>
        <w:tblStyle w:val="19"/>
        <w:tblW w:w="90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
        <w:gridCol w:w="1665"/>
        <w:gridCol w:w="2297"/>
        <w:gridCol w:w="1035"/>
        <w:gridCol w:w="1320"/>
        <w:gridCol w:w="930"/>
        <w:gridCol w:w="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901"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一级指标</w:t>
            </w:r>
          </w:p>
        </w:tc>
        <w:tc>
          <w:tcPr>
            <w:tcW w:w="1665"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二级指标</w:t>
            </w:r>
          </w:p>
        </w:tc>
        <w:tc>
          <w:tcPr>
            <w:tcW w:w="2297"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三级指标</w:t>
            </w:r>
          </w:p>
        </w:tc>
        <w:tc>
          <w:tcPr>
            <w:tcW w:w="1035"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目标值</w:t>
            </w:r>
          </w:p>
        </w:tc>
        <w:tc>
          <w:tcPr>
            <w:tcW w:w="1320"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实际完</w:t>
            </w:r>
          </w:p>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成值</w:t>
            </w:r>
          </w:p>
        </w:tc>
        <w:tc>
          <w:tcPr>
            <w:tcW w:w="930"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权重</w:t>
            </w:r>
          </w:p>
        </w:tc>
        <w:tc>
          <w:tcPr>
            <w:tcW w:w="870"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1" w:type="dxa"/>
            <w:vMerge w:val="restart"/>
            <w:vAlign w:val="center"/>
          </w:tcPr>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A决策（15.00分）　</w:t>
            </w:r>
          </w:p>
        </w:tc>
        <w:tc>
          <w:tcPr>
            <w:tcW w:w="1665" w:type="dxa"/>
            <w:vMerge w:val="restart"/>
            <w:vAlign w:val="center"/>
          </w:tcPr>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A1项目立项（</w:t>
            </w:r>
            <w:r>
              <w:rPr>
                <w:rFonts w:hint="eastAsia" w:ascii="仿宋_GB2312" w:hAnsi="仿宋_GB2312" w:cs="仿宋_GB2312"/>
                <w:kern w:val="0"/>
                <w:sz w:val="24"/>
                <w:szCs w:val="24"/>
                <w:lang w:val="en-US" w:eastAsia="zh-CN"/>
              </w:rPr>
              <w:t>4</w:t>
            </w:r>
            <w:r>
              <w:rPr>
                <w:rFonts w:hint="eastAsia" w:ascii="仿宋_GB2312" w:hAnsi="仿宋_GB2312" w:eastAsia="仿宋_GB2312" w:cs="仿宋_GB2312"/>
                <w:kern w:val="0"/>
                <w:sz w:val="24"/>
                <w:szCs w:val="24"/>
              </w:rPr>
              <w:t>.00分）　</w:t>
            </w:r>
          </w:p>
        </w:tc>
        <w:tc>
          <w:tcPr>
            <w:tcW w:w="2297"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A11立项依据充分性</w:t>
            </w:r>
          </w:p>
        </w:tc>
        <w:tc>
          <w:tcPr>
            <w:tcW w:w="1035" w:type="dxa"/>
            <w:vAlign w:val="top"/>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充分</w:t>
            </w:r>
          </w:p>
        </w:tc>
        <w:tc>
          <w:tcPr>
            <w:tcW w:w="1320" w:type="dxa"/>
            <w:vAlign w:val="top"/>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充分</w:t>
            </w:r>
          </w:p>
        </w:tc>
        <w:tc>
          <w:tcPr>
            <w:tcW w:w="930"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2.00</w:t>
            </w:r>
          </w:p>
        </w:tc>
        <w:tc>
          <w:tcPr>
            <w:tcW w:w="870"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1" w:type="dxa"/>
            <w:vMerge w:val="continue"/>
            <w:vAlign w:val="center"/>
          </w:tcPr>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ascii="仿宋_GB2312" w:hAnsi="仿宋_GB2312" w:eastAsia="仿宋_GB2312" w:cs="仿宋_GB2312"/>
                <w:sz w:val="24"/>
                <w:szCs w:val="24"/>
              </w:rPr>
            </w:pPr>
          </w:p>
        </w:tc>
        <w:tc>
          <w:tcPr>
            <w:tcW w:w="1665" w:type="dxa"/>
            <w:vMerge w:val="continue"/>
            <w:vAlign w:val="center"/>
          </w:tcPr>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ascii="仿宋_GB2312" w:hAnsi="仿宋_GB2312" w:eastAsia="仿宋_GB2312" w:cs="仿宋_GB2312"/>
                <w:kern w:val="0"/>
                <w:sz w:val="24"/>
                <w:szCs w:val="24"/>
              </w:rPr>
            </w:pPr>
          </w:p>
        </w:tc>
        <w:tc>
          <w:tcPr>
            <w:tcW w:w="2297"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A12立项程序规范性</w:t>
            </w:r>
          </w:p>
        </w:tc>
        <w:tc>
          <w:tcPr>
            <w:tcW w:w="1035" w:type="dxa"/>
            <w:vAlign w:val="top"/>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合规</w:t>
            </w:r>
          </w:p>
        </w:tc>
        <w:tc>
          <w:tcPr>
            <w:tcW w:w="1320" w:type="dxa"/>
            <w:vAlign w:val="top"/>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合规</w:t>
            </w:r>
          </w:p>
        </w:tc>
        <w:tc>
          <w:tcPr>
            <w:tcW w:w="930"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ascii="仿宋_GB2312" w:hAnsi="仿宋_GB2312" w:eastAsia="仿宋_GB2312" w:cs="仿宋_GB2312"/>
                <w:kern w:val="0"/>
                <w:sz w:val="24"/>
                <w:szCs w:val="24"/>
              </w:rPr>
            </w:pPr>
            <w:r>
              <w:rPr>
                <w:rFonts w:hint="eastAsia" w:ascii="仿宋_GB2312" w:hAnsi="仿宋_GB2312" w:cs="仿宋_GB2312"/>
                <w:sz w:val="24"/>
                <w:szCs w:val="24"/>
                <w:lang w:val="en-US" w:eastAsia="zh-CN"/>
              </w:rPr>
              <w:t>2</w:t>
            </w:r>
            <w:r>
              <w:rPr>
                <w:rFonts w:hint="eastAsia" w:ascii="仿宋_GB2312" w:hAnsi="仿宋_GB2312" w:eastAsia="仿宋_GB2312" w:cs="仿宋_GB2312"/>
                <w:sz w:val="24"/>
                <w:szCs w:val="24"/>
              </w:rPr>
              <w:t>.00</w:t>
            </w:r>
          </w:p>
        </w:tc>
        <w:tc>
          <w:tcPr>
            <w:tcW w:w="870"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ascii="仿宋_GB2312" w:hAnsi="仿宋_GB2312" w:eastAsia="仿宋_GB2312" w:cs="仿宋_GB2312"/>
                <w:kern w:val="0"/>
                <w:sz w:val="24"/>
                <w:szCs w:val="24"/>
              </w:rPr>
            </w:pPr>
            <w:r>
              <w:rPr>
                <w:rFonts w:hint="eastAsia" w:ascii="仿宋_GB2312" w:hAnsi="仿宋_GB2312" w:cs="仿宋_GB2312"/>
                <w:sz w:val="24"/>
                <w:szCs w:val="24"/>
                <w:lang w:val="en-US" w:eastAsia="zh-CN"/>
              </w:rPr>
              <w:t>2</w:t>
            </w:r>
            <w:r>
              <w:rPr>
                <w:rFonts w:hint="eastAsia" w:ascii="仿宋_GB2312" w:hAnsi="仿宋_GB2312" w:eastAsia="仿宋_GB2312" w:cs="仿宋_GB2312"/>
                <w:sz w:val="24"/>
                <w:szCs w:val="24"/>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901" w:type="dxa"/>
            <w:vMerge w:val="continue"/>
            <w:vAlign w:val="center"/>
          </w:tcPr>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ascii="仿宋_GB2312" w:hAnsi="仿宋_GB2312" w:eastAsia="仿宋_GB2312" w:cs="仿宋_GB2312"/>
                <w:sz w:val="24"/>
                <w:szCs w:val="24"/>
              </w:rPr>
            </w:pPr>
          </w:p>
        </w:tc>
        <w:tc>
          <w:tcPr>
            <w:tcW w:w="1665" w:type="dxa"/>
            <w:vMerge w:val="restart"/>
            <w:vAlign w:val="center"/>
          </w:tcPr>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A2绩效目标（</w:t>
            </w:r>
            <w:r>
              <w:rPr>
                <w:rFonts w:hint="eastAsia" w:ascii="仿宋_GB2312" w:hAnsi="仿宋_GB2312" w:cs="仿宋_GB2312"/>
                <w:kern w:val="0"/>
                <w:sz w:val="24"/>
                <w:szCs w:val="24"/>
                <w:lang w:val="en-US" w:eastAsia="zh-CN"/>
              </w:rPr>
              <w:t>8</w:t>
            </w:r>
            <w:r>
              <w:rPr>
                <w:rFonts w:hint="eastAsia" w:ascii="仿宋_GB2312" w:hAnsi="仿宋_GB2312" w:eastAsia="仿宋_GB2312" w:cs="仿宋_GB2312"/>
                <w:kern w:val="0"/>
                <w:sz w:val="24"/>
                <w:szCs w:val="24"/>
              </w:rPr>
              <w:t>.00分）　</w:t>
            </w:r>
          </w:p>
        </w:tc>
        <w:tc>
          <w:tcPr>
            <w:tcW w:w="2297"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A21绩效目标合理性</w:t>
            </w:r>
          </w:p>
        </w:tc>
        <w:tc>
          <w:tcPr>
            <w:tcW w:w="1035" w:type="dxa"/>
            <w:vAlign w:val="top"/>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合理</w:t>
            </w:r>
          </w:p>
        </w:tc>
        <w:tc>
          <w:tcPr>
            <w:tcW w:w="1320" w:type="dxa"/>
            <w:vAlign w:val="top"/>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合理</w:t>
            </w:r>
          </w:p>
        </w:tc>
        <w:tc>
          <w:tcPr>
            <w:tcW w:w="930"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ascii="仿宋_GB2312" w:hAnsi="仿宋_GB2312" w:eastAsia="仿宋_GB2312" w:cs="仿宋_GB2312"/>
                <w:kern w:val="0"/>
                <w:sz w:val="24"/>
                <w:szCs w:val="24"/>
              </w:rPr>
            </w:pPr>
            <w:r>
              <w:rPr>
                <w:rFonts w:hint="eastAsia" w:ascii="仿宋_GB2312" w:hAnsi="仿宋_GB2312" w:cs="仿宋_GB2312"/>
                <w:sz w:val="24"/>
                <w:szCs w:val="24"/>
                <w:lang w:val="en-US" w:eastAsia="zh-CN"/>
              </w:rPr>
              <w:t>4</w:t>
            </w:r>
            <w:r>
              <w:rPr>
                <w:rFonts w:hint="eastAsia" w:ascii="仿宋_GB2312" w:hAnsi="仿宋_GB2312" w:eastAsia="仿宋_GB2312" w:cs="仿宋_GB2312"/>
                <w:sz w:val="24"/>
                <w:szCs w:val="24"/>
              </w:rPr>
              <w:t>.00</w:t>
            </w:r>
          </w:p>
        </w:tc>
        <w:tc>
          <w:tcPr>
            <w:tcW w:w="870"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ascii="仿宋_GB2312" w:hAnsi="仿宋_GB2312" w:eastAsia="仿宋_GB2312" w:cs="仿宋_GB2312"/>
                <w:kern w:val="0"/>
                <w:sz w:val="24"/>
                <w:szCs w:val="24"/>
                <w:lang w:val="en-US" w:eastAsia="zh-CN"/>
              </w:rPr>
            </w:pPr>
            <w:r>
              <w:rPr>
                <w:rFonts w:hint="eastAsia" w:ascii="仿宋_GB2312" w:hAnsi="仿宋_GB2312" w:cs="仿宋_GB2312"/>
                <w:sz w:val="24"/>
                <w:szCs w:val="24"/>
                <w:lang w:val="en-US" w:eastAsia="zh-CN"/>
              </w:rPr>
              <w:t>4</w:t>
            </w:r>
            <w:r>
              <w:rPr>
                <w:rFonts w:hint="eastAsia" w:ascii="仿宋_GB2312" w:hAnsi="仿宋_GB2312" w:eastAsia="仿宋_GB2312" w:cs="仿宋_GB2312"/>
                <w:sz w:val="24"/>
                <w:szCs w:val="24"/>
                <w:lang w:val="en-US" w:eastAsia="zh-CN"/>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1" w:type="dxa"/>
            <w:vMerge w:val="continue"/>
            <w:vAlign w:val="center"/>
          </w:tcPr>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ascii="仿宋_GB2312" w:hAnsi="仿宋_GB2312" w:eastAsia="仿宋_GB2312" w:cs="仿宋_GB2312"/>
                <w:sz w:val="24"/>
                <w:szCs w:val="24"/>
              </w:rPr>
            </w:pPr>
          </w:p>
        </w:tc>
        <w:tc>
          <w:tcPr>
            <w:tcW w:w="1665" w:type="dxa"/>
            <w:vMerge w:val="continue"/>
            <w:vAlign w:val="center"/>
          </w:tcPr>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ascii="仿宋_GB2312" w:hAnsi="仿宋_GB2312" w:eastAsia="仿宋_GB2312" w:cs="仿宋_GB2312"/>
                <w:kern w:val="0"/>
                <w:sz w:val="24"/>
                <w:szCs w:val="24"/>
              </w:rPr>
            </w:pPr>
          </w:p>
        </w:tc>
        <w:tc>
          <w:tcPr>
            <w:tcW w:w="2297"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A22绩效指标明确性</w:t>
            </w:r>
          </w:p>
        </w:tc>
        <w:tc>
          <w:tcPr>
            <w:tcW w:w="1035" w:type="dxa"/>
            <w:vAlign w:val="top"/>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明确</w:t>
            </w:r>
          </w:p>
        </w:tc>
        <w:tc>
          <w:tcPr>
            <w:tcW w:w="1320" w:type="dxa"/>
            <w:vAlign w:val="top"/>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明确</w:t>
            </w:r>
          </w:p>
        </w:tc>
        <w:tc>
          <w:tcPr>
            <w:tcW w:w="930"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ascii="仿宋_GB2312" w:hAnsi="仿宋_GB2312" w:eastAsia="仿宋_GB2312" w:cs="仿宋_GB2312"/>
                <w:kern w:val="0"/>
                <w:sz w:val="24"/>
                <w:szCs w:val="24"/>
              </w:rPr>
            </w:pPr>
            <w:r>
              <w:rPr>
                <w:rFonts w:hint="eastAsia" w:ascii="仿宋_GB2312" w:hAnsi="仿宋_GB2312" w:cs="仿宋_GB2312"/>
                <w:sz w:val="24"/>
                <w:szCs w:val="24"/>
                <w:lang w:val="en-US" w:eastAsia="zh-CN"/>
              </w:rPr>
              <w:t>4</w:t>
            </w:r>
            <w:r>
              <w:rPr>
                <w:rFonts w:hint="eastAsia" w:ascii="仿宋_GB2312" w:hAnsi="仿宋_GB2312" w:eastAsia="仿宋_GB2312" w:cs="仿宋_GB2312"/>
                <w:sz w:val="24"/>
                <w:szCs w:val="24"/>
              </w:rPr>
              <w:t>.00</w:t>
            </w:r>
          </w:p>
        </w:tc>
        <w:tc>
          <w:tcPr>
            <w:tcW w:w="870"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ascii="仿宋_GB2312" w:hAnsi="仿宋_GB2312" w:eastAsia="仿宋_GB2312" w:cs="仿宋_GB2312"/>
                <w:kern w:val="0"/>
                <w:sz w:val="24"/>
                <w:szCs w:val="24"/>
                <w:lang w:val="en-US" w:eastAsia="zh-CN"/>
              </w:rPr>
            </w:pPr>
            <w:r>
              <w:rPr>
                <w:rFonts w:hint="eastAsia" w:ascii="仿宋_GB2312" w:hAnsi="仿宋_GB2312" w:cs="仿宋_GB2312"/>
                <w:sz w:val="24"/>
                <w:szCs w:val="24"/>
                <w:lang w:val="en-US" w:eastAsia="zh-CN"/>
              </w:rPr>
              <w:t>4</w:t>
            </w:r>
            <w:r>
              <w:rPr>
                <w:rFonts w:hint="eastAsia" w:ascii="仿宋_GB2312" w:hAnsi="仿宋_GB2312" w:eastAsia="仿宋_GB2312" w:cs="仿宋_GB2312"/>
                <w:sz w:val="24"/>
                <w:szCs w:val="24"/>
                <w:lang w:val="en-US" w:eastAsia="zh-CN"/>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1" w:type="dxa"/>
            <w:vMerge w:val="continue"/>
            <w:vAlign w:val="center"/>
          </w:tcPr>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ascii="仿宋_GB2312" w:hAnsi="仿宋_GB2312" w:eastAsia="仿宋_GB2312" w:cs="仿宋_GB2312"/>
                <w:sz w:val="24"/>
                <w:szCs w:val="24"/>
              </w:rPr>
            </w:pPr>
          </w:p>
        </w:tc>
        <w:tc>
          <w:tcPr>
            <w:tcW w:w="1665" w:type="dxa"/>
            <w:vMerge w:val="restart"/>
            <w:vAlign w:val="center"/>
          </w:tcPr>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A3资金投入（</w:t>
            </w:r>
            <w:r>
              <w:rPr>
                <w:rFonts w:hint="eastAsia" w:ascii="仿宋_GB2312" w:hAnsi="仿宋_GB2312" w:cs="仿宋_GB2312"/>
                <w:kern w:val="0"/>
                <w:sz w:val="24"/>
                <w:szCs w:val="24"/>
                <w:lang w:val="en-US" w:eastAsia="zh-CN"/>
              </w:rPr>
              <w:t>3</w:t>
            </w:r>
            <w:r>
              <w:rPr>
                <w:rFonts w:hint="eastAsia" w:ascii="仿宋_GB2312" w:hAnsi="仿宋_GB2312" w:eastAsia="仿宋_GB2312" w:cs="仿宋_GB2312"/>
                <w:kern w:val="0"/>
                <w:sz w:val="24"/>
                <w:szCs w:val="24"/>
              </w:rPr>
              <w:t>.00分）</w:t>
            </w:r>
          </w:p>
        </w:tc>
        <w:tc>
          <w:tcPr>
            <w:tcW w:w="2297"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A31预算编制科学性</w:t>
            </w:r>
          </w:p>
        </w:tc>
        <w:tc>
          <w:tcPr>
            <w:tcW w:w="1035" w:type="dxa"/>
            <w:vAlign w:val="top"/>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科学</w:t>
            </w:r>
          </w:p>
        </w:tc>
        <w:tc>
          <w:tcPr>
            <w:tcW w:w="1320" w:type="dxa"/>
            <w:vAlign w:val="top"/>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科学</w:t>
            </w:r>
          </w:p>
        </w:tc>
        <w:tc>
          <w:tcPr>
            <w:tcW w:w="930"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ascii="仿宋_GB2312" w:hAnsi="仿宋_GB2312" w:eastAsia="仿宋_GB2312" w:cs="仿宋_GB2312"/>
                <w:kern w:val="0"/>
                <w:sz w:val="24"/>
                <w:szCs w:val="24"/>
              </w:rPr>
            </w:pPr>
            <w:r>
              <w:rPr>
                <w:rFonts w:hint="eastAsia" w:ascii="仿宋_GB2312" w:hAnsi="仿宋_GB2312" w:cs="仿宋_GB2312"/>
                <w:sz w:val="24"/>
                <w:szCs w:val="24"/>
                <w:lang w:val="en-US" w:eastAsia="zh-CN"/>
              </w:rPr>
              <w:t>2</w:t>
            </w:r>
            <w:r>
              <w:rPr>
                <w:rFonts w:hint="eastAsia" w:ascii="仿宋_GB2312" w:hAnsi="仿宋_GB2312" w:eastAsia="仿宋_GB2312" w:cs="仿宋_GB2312"/>
                <w:sz w:val="24"/>
                <w:szCs w:val="24"/>
              </w:rPr>
              <w:t>.00</w:t>
            </w:r>
          </w:p>
        </w:tc>
        <w:tc>
          <w:tcPr>
            <w:tcW w:w="870"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ascii="仿宋_GB2312" w:hAnsi="仿宋_GB2312" w:eastAsia="仿宋_GB2312" w:cs="仿宋_GB2312"/>
                <w:kern w:val="0"/>
                <w:sz w:val="24"/>
                <w:szCs w:val="24"/>
                <w:lang w:val="en-US"/>
              </w:rPr>
            </w:pPr>
            <w:r>
              <w:rPr>
                <w:rFonts w:hint="eastAsia" w:ascii="仿宋_GB2312" w:hAnsi="仿宋_GB2312" w:cs="仿宋_GB2312"/>
                <w:sz w:val="24"/>
                <w:szCs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1" w:type="dxa"/>
            <w:vMerge w:val="continue"/>
            <w:vAlign w:val="center"/>
          </w:tcPr>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ascii="仿宋_GB2312" w:hAnsi="仿宋_GB2312" w:eastAsia="仿宋_GB2312" w:cs="仿宋_GB2312"/>
                <w:sz w:val="24"/>
                <w:szCs w:val="24"/>
              </w:rPr>
            </w:pPr>
          </w:p>
        </w:tc>
        <w:tc>
          <w:tcPr>
            <w:tcW w:w="1665" w:type="dxa"/>
            <w:vMerge w:val="continue"/>
            <w:vAlign w:val="center"/>
          </w:tcPr>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ascii="仿宋_GB2312" w:hAnsi="仿宋_GB2312" w:eastAsia="仿宋_GB2312" w:cs="仿宋_GB2312"/>
                <w:kern w:val="0"/>
                <w:sz w:val="24"/>
                <w:szCs w:val="24"/>
              </w:rPr>
            </w:pPr>
          </w:p>
        </w:tc>
        <w:tc>
          <w:tcPr>
            <w:tcW w:w="2297"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A32资金分配合理性</w:t>
            </w:r>
          </w:p>
        </w:tc>
        <w:tc>
          <w:tcPr>
            <w:tcW w:w="1035" w:type="dxa"/>
            <w:vAlign w:val="top"/>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合理</w:t>
            </w:r>
          </w:p>
        </w:tc>
        <w:tc>
          <w:tcPr>
            <w:tcW w:w="1320" w:type="dxa"/>
            <w:vAlign w:val="top"/>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合理</w:t>
            </w:r>
          </w:p>
        </w:tc>
        <w:tc>
          <w:tcPr>
            <w:tcW w:w="930"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ascii="仿宋_GB2312" w:hAnsi="仿宋_GB2312" w:eastAsia="仿宋_GB2312" w:cs="仿宋_GB2312"/>
                <w:kern w:val="0"/>
                <w:sz w:val="24"/>
                <w:szCs w:val="24"/>
              </w:rPr>
            </w:pPr>
            <w:r>
              <w:rPr>
                <w:rFonts w:hint="eastAsia" w:ascii="仿宋_GB2312" w:hAnsi="仿宋_GB2312" w:cs="仿宋_GB2312"/>
                <w:sz w:val="24"/>
                <w:szCs w:val="24"/>
                <w:lang w:val="en-US" w:eastAsia="zh-CN"/>
              </w:rPr>
              <w:t>1</w:t>
            </w:r>
            <w:r>
              <w:rPr>
                <w:rFonts w:hint="eastAsia" w:ascii="仿宋_GB2312" w:hAnsi="仿宋_GB2312" w:eastAsia="仿宋_GB2312" w:cs="仿宋_GB2312"/>
                <w:sz w:val="24"/>
                <w:szCs w:val="24"/>
              </w:rPr>
              <w:t>.00</w:t>
            </w:r>
          </w:p>
        </w:tc>
        <w:tc>
          <w:tcPr>
            <w:tcW w:w="870"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ascii="仿宋_GB2312" w:hAnsi="仿宋_GB2312" w:eastAsia="仿宋_GB2312" w:cs="仿宋_GB2312"/>
                <w:kern w:val="0"/>
                <w:sz w:val="24"/>
                <w:szCs w:val="24"/>
                <w:lang w:val="en-US" w:eastAsia="zh-CN"/>
              </w:rPr>
            </w:pPr>
            <w:r>
              <w:rPr>
                <w:rFonts w:hint="eastAsia" w:ascii="仿宋_GB2312" w:hAnsi="仿宋_GB2312" w:cs="仿宋_GB2312"/>
                <w:sz w:val="24"/>
                <w:szCs w:val="24"/>
                <w:lang w:val="en-US" w:eastAsia="zh-CN"/>
              </w:rPr>
              <w:t>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4863" w:type="dxa"/>
            <w:gridSpan w:val="3"/>
            <w:vAlign w:val="center"/>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合计</w:t>
            </w:r>
          </w:p>
        </w:tc>
        <w:tc>
          <w:tcPr>
            <w:tcW w:w="1035"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ascii="仿宋_GB2312" w:hAnsi="仿宋_GB2312" w:eastAsia="仿宋_GB2312" w:cs="仿宋_GB2312"/>
                <w:kern w:val="0"/>
                <w:sz w:val="24"/>
                <w:szCs w:val="24"/>
              </w:rPr>
            </w:pPr>
          </w:p>
        </w:tc>
        <w:tc>
          <w:tcPr>
            <w:tcW w:w="1320"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ascii="仿宋_GB2312" w:hAnsi="仿宋_GB2312" w:eastAsia="仿宋_GB2312" w:cs="仿宋_GB2312"/>
                <w:kern w:val="0"/>
                <w:sz w:val="24"/>
                <w:szCs w:val="24"/>
              </w:rPr>
            </w:pPr>
          </w:p>
        </w:tc>
        <w:tc>
          <w:tcPr>
            <w:tcW w:w="930"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15.00</w:t>
            </w:r>
          </w:p>
        </w:tc>
        <w:tc>
          <w:tcPr>
            <w:tcW w:w="870"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ascii="仿宋_GB2312" w:hAnsi="仿宋_GB2312" w:eastAsia="仿宋_GB2312" w:cs="仿宋_GB2312"/>
                <w:kern w:val="0"/>
                <w:sz w:val="24"/>
                <w:szCs w:val="24"/>
                <w:lang w:val="en-US" w:eastAsia="zh-CN"/>
              </w:rPr>
            </w:pPr>
            <w:r>
              <w:rPr>
                <w:rFonts w:hint="eastAsia" w:ascii="仿宋_GB2312" w:hAnsi="仿宋_GB2312" w:cs="仿宋_GB2312"/>
                <w:sz w:val="24"/>
                <w:szCs w:val="24"/>
                <w:lang w:val="en-US" w:eastAsia="zh-CN"/>
              </w:rPr>
              <w:t>13.50</w:t>
            </w:r>
          </w:p>
        </w:tc>
      </w:tr>
    </w:tbl>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jc w:val="both"/>
        <w:textAlignment w:val="auto"/>
        <w:outlineLvl w:val="9"/>
        <w:rPr>
          <w:rStyle w:val="21"/>
          <w:rFonts w:hint="eastAsia" w:ascii="仿宋_GB2312" w:hAnsi="仿宋_GB2312" w:eastAsia="仿宋_GB2312" w:cs="仿宋_GB2312"/>
          <w:b w:val="0"/>
          <w:bCs/>
          <w:spacing w:val="-4"/>
          <w:sz w:val="32"/>
          <w:szCs w:val="32"/>
        </w:rPr>
      </w:pPr>
      <w:r>
        <w:rPr>
          <w:rStyle w:val="21"/>
          <w:rFonts w:hint="eastAsia" w:ascii="仿宋_GB2312" w:hAnsi="仿宋_GB2312" w:eastAsia="仿宋_GB2312" w:cs="仿宋_GB2312"/>
          <w:b w:val="0"/>
          <w:bCs/>
          <w:spacing w:val="-4"/>
          <w:sz w:val="32"/>
          <w:szCs w:val="32"/>
        </w:rPr>
        <w:t>指标得分分析：</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6" w:firstLineChars="200"/>
        <w:jc w:val="both"/>
        <w:textAlignment w:val="auto"/>
        <w:outlineLvl w:val="9"/>
        <w:rPr>
          <w:rStyle w:val="21"/>
          <w:rFonts w:hint="eastAsia" w:ascii="仿宋_GB2312" w:hAnsi="仿宋_GB2312" w:eastAsia="仿宋_GB2312" w:cs="仿宋_GB2312"/>
          <w:b w:val="0"/>
          <w:bCs/>
          <w:spacing w:val="-4"/>
          <w:sz w:val="32"/>
          <w:szCs w:val="32"/>
          <w:lang w:val="en-US" w:eastAsia="zh-CN"/>
        </w:rPr>
      </w:pPr>
      <w:r>
        <w:rPr>
          <w:rStyle w:val="21"/>
          <w:rFonts w:hint="eastAsia" w:ascii="仿宋_GB2312" w:hAnsi="仿宋_GB2312" w:eastAsia="仿宋_GB2312" w:cs="仿宋_GB2312"/>
          <w:b/>
          <w:bCs w:val="0"/>
          <w:spacing w:val="-4"/>
          <w:sz w:val="32"/>
          <w:szCs w:val="32"/>
        </w:rPr>
        <w:t>A11立项依据充分性：</w:t>
      </w:r>
      <w:r>
        <w:rPr>
          <w:rStyle w:val="21"/>
          <w:rFonts w:hint="eastAsia" w:ascii="仿宋_GB2312" w:hAnsi="仿宋_GB2312" w:eastAsia="仿宋_GB2312" w:cs="仿宋_GB2312"/>
          <w:b/>
          <w:bCs w:val="0"/>
          <w:spacing w:val="-4"/>
          <w:sz w:val="32"/>
          <w:szCs w:val="32"/>
        </w:rPr>
        <w:br w:type="textWrapping"/>
      </w:r>
      <w:r>
        <w:rPr>
          <w:rStyle w:val="21"/>
          <w:rFonts w:hint="eastAsia" w:ascii="仿宋_GB2312" w:hAnsi="仿宋_GB2312" w:eastAsia="仿宋_GB2312" w:cs="仿宋_GB2312"/>
          <w:b w:val="0"/>
          <w:bCs/>
          <w:spacing w:val="-4"/>
          <w:sz w:val="32"/>
          <w:szCs w:val="32"/>
        </w:rPr>
        <w:t xml:space="preserve">    （1）依照《自治区党委办公厅、自治区人民政府办公厅关于印发﹤新疆维吾尔自治区国有资产监督管理委员会职能配置、内设机构和人员编制规定﹥的通知》（新党厅字〔2018〕166号）职能要求，设立国有企业监督管理综合经费项目，对推动国资监管水平，保障国资监管业务开展，提供有力的资金保障；</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rPr>
        <w:t xml:space="preserve">    （2）按照《新疆维吾尔自治区人民政府国有资产监督管理委员会职能配置、内设机构和人员编制规定》职责范围相符，属于部门履职所需。</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rPr>
        <w:t xml:space="preserve">    该指标满分为2.00分，根据评分标准得2.00分。</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bCs w:val="0"/>
          <w:spacing w:val="-4"/>
          <w:sz w:val="32"/>
          <w:szCs w:val="32"/>
        </w:rPr>
        <w:t xml:space="preserve">    A12立项程序规范性：</w:t>
      </w:r>
      <w:r>
        <w:rPr>
          <w:rStyle w:val="21"/>
          <w:rFonts w:hint="eastAsia" w:ascii="仿宋_GB2312" w:hAnsi="仿宋_GB2312" w:eastAsia="仿宋_GB2312" w:cs="仿宋_GB2312"/>
          <w:b/>
          <w:bCs w:val="0"/>
          <w:spacing w:val="-4"/>
          <w:sz w:val="32"/>
          <w:szCs w:val="32"/>
        </w:rPr>
        <w:br w:type="textWrapping"/>
      </w:r>
      <w:r>
        <w:rPr>
          <w:rStyle w:val="21"/>
          <w:rFonts w:hint="eastAsia" w:ascii="仿宋_GB2312" w:hAnsi="仿宋_GB2312" w:eastAsia="仿宋_GB2312" w:cs="仿宋_GB2312"/>
          <w:b w:val="0"/>
          <w:bCs/>
          <w:spacing w:val="-4"/>
          <w:sz w:val="32"/>
          <w:szCs w:val="32"/>
        </w:rPr>
        <w:t xml:space="preserve">    该项目为一般公共预算安排项目，由国资委负责编报提交《关于报送自治区国资委202</w:t>
      </w:r>
      <w:r>
        <w:rPr>
          <w:rStyle w:val="21"/>
          <w:rFonts w:hint="eastAsia" w:ascii="仿宋_GB2312" w:hAnsi="仿宋_GB2312" w:eastAsia="仿宋_GB2312" w:cs="仿宋_GB2312"/>
          <w:b w:val="0"/>
          <w:bCs/>
          <w:spacing w:val="-4"/>
          <w:sz w:val="32"/>
          <w:szCs w:val="32"/>
          <w:lang w:val="en-US" w:eastAsia="zh-CN"/>
        </w:rPr>
        <w:t>5</w:t>
      </w:r>
      <w:r>
        <w:rPr>
          <w:rStyle w:val="21"/>
          <w:rFonts w:hint="eastAsia" w:ascii="仿宋_GB2312" w:hAnsi="仿宋_GB2312" w:eastAsia="仿宋_GB2312" w:cs="仿宋_GB2312"/>
          <w:b w:val="0"/>
          <w:bCs/>
          <w:spacing w:val="-4"/>
          <w:sz w:val="32"/>
          <w:szCs w:val="32"/>
        </w:rPr>
        <w:t>年度项目预算的函》至自治区财政厅，由自治区财政厅审核通过后上报新疆维吾尔自治区人民代表大审议批准后正式实施。该项目为经常性项目，项目实施程序符合相关要求。</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rPr>
        <w:t xml:space="preserve">    该指标满分为2.00分，根据评分标准得2.00分。</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bCs w:val="0"/>
          <w:spacing w:val="-4"/>
          <w:sz w:val="32"/>
          <w:szCs w:val="32"/>
        </w:rPr>
        <w:t xml:space="preserve">    A21绩效目标合理性：</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rPr>
        <w:t xml:space="preserve">    （1）根据《部门预算项目支出绩效目标申报表》显示，该项目已设置总体目标，具体内容如下：根据《自治区党委办公厅、自治区人民政府办公厅关于印发﹤新疆维吾尔自治区国有资产监督管理委员会职能配置、内设机构和人员编制规定﹥的通知》（新党厅字〔2018〕166号）的职责要求，围绕“做强做优做大国有资本和国有企业”这个目标，做好各项国资监管业务工作，保障国有资产保值增值。 </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rPr>
        <w:t xml:space="preserve">    （2）根据《关于批复202</w:t>
      </w:r>
      <w:r>
        <w:rPr>
          <w:rStyle w:val="21"/>
          <w:rFonts w:hint="eastAsia" w:ascii="仿宋_GB2312" w:hAnsi="仿宋_GB2312" w:eastAsia="仿宋_GB2312" w:cs="仿宋_GB2312"/>
          <w:b w:val="0"/>
          <w:bCs/>
          <w:spacing w:val="-4"/>
          <w:sz w:val="32"/>
          <w:szCs w:val="32"/>
          <w:lang w:val="en-US" w:eastAsia="zh-CN"/>
        </w:rPr>
        <w:t>5</w:t>
      </w:r>
      <w:r>
        <w:rPr>
          <w:rStyle w:val="21"/>
          <w:rFonts w:hint="eastAsia" w:ascii="仿宋_GB2312" w:hAnsi="仿宋_GB2312" w:eastAsia="仿宋_GB2312" w:cs="仿宋_GB2312"/>
          <w:b w:val="0"/>
          <w:bCs/>
          <w:spacing w:val="-4"/>
          <w:sz w:val="32"/>
          <w:szCs w:val="32"/>
        </w:rPr>
        <w:t>年自治区本级部门预算的通知》（新财企〔202</w:t>
      </w:r>
      <w:r>
        <w:rPr>
          <w:rStyle w:val="21"/>
          <w:rFonts w:hint="eastAsia" w:ascii="仿宋_GB2312" w:hAnsi="仿宋_GB2312" w:eastAsia="仿宋_GB2312" w:cs="仿宋_GB2312"/>
          <w:b w:val="0"/>
          <w:bCs/>
          <w:spacing w:val="-4"/>
          <w:sz w:val="32"/>
          <w:szCs w:val="32"/>
          <w:lang w:val="en-US" w:eastAsia="zh-CN"/>
        </w:rPr>
        <w:t>5</w:t>
      </w:r>
      <w:r>
        <w:rPr>
          <w:rStyle w:val="21"/>
          <w:rFonts w:hint="eastAsia" w:ascii="仿宋_GB2312" w:hAnsi="仿宋_GB2312" w:eastAsia="仿宋_GB2312" w:cs="仿宋_GB2312"/>
          <w:b w:val="0"/>
          <w:bCs/>
          <w:spacing w:val="-4"/>
          <w:sz w:val="32"/>
          <w:szCs w:val="32"/>
        </w:rPr>
        <w:t>〕1号）显示，该项目预算批复总额为3</w:t>
      </w:r>
      <w:r>
        <w:rPr>
          <w:rStyle w:val="21"/>
          <w:rFonts w:hint="eastAsia" w:ascii="仿宋_GB2312" w:hAnsi="仿宋_GB2312" w:eastAsia="仿宋_GB2312" w:cs="仿宋_GB2312"/>
          <w:b w:val="0"/>
          <w:bCs/>
          <w:spacing w:val="-4"/>
          <w:sz w:val="32"/>
          <w:szCs w:val="32"/>
          <w:lang w:val="en-US" w:eastAsia="zh-CN"/>
        </w:rPr>
        <w:t>8</w:t>
      </w:r>
      <w:r>
        <w:rPr>
          <w:rStyle w:val="21"/>
          <w:rFonts w:hint="eastAsia" w:ascii="仿宋_GB2312" w:hAnsi="仿宋_GB2312" w:eastAsia="仿宋_GB2312" w:cs="仿宋_GB2312"/>
          <w:b w:val="0"/>
          <w:bCs/>
          <w:spacing w:val="-4"/>
          <w:sz w:val="32"/>
          <w:szCs w:val="32"/>
        </w:rPr>
        <w:t>1万元；根据《部门预算项目支出绩效目标申报表》显示，该项目年度资金总额为3</w:t>
      </w:r>
      <w:r>
        <w:rPr>
          <w:rStyle w:val="21"/>
          <w:rFonts w:hint="eastAsia" w:ascii="仿宋_GB2312" w:hAnsi="仿宋_GB2312" w:eastAsia="仿宋_GB2312" w:cs="仿宋_GB2312"/>
          <w:b w:val="0"/>
          <w:bCs/>
          <w:spacing w:val="-4"/>
          <w:sz w:val="32"/>
          <w:szCs w:val="32"/>
          <w:lang w:val="en-US" w:eastAsia="zh-CN"/>
        </w:rPr>
        <w:t>8</w:t>
      </w:r>
      <w:r>
        <w:rPr>
          <w:rStyle w:val="21"/>
          <w:rFonts w:hint="eastAsia" w:ascii="仿宋_GB2312" w:hAnsi="仿宋_GB2312" w:eastAsia="仿宋_GB2312" w:cs="仿宋_GB2312"/>
          <w:b w:val="0"/>
          <w:bCs/>
          <w:spacing w:val="-4"/>
          <w:sz w:val="32"/>
          <w:szCs w:val="32"/>
        </w:rPr>
        <w:t>1万元；该项目绩效目标金额与预算确定的项目资金量相匹配。</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rPr>
        <w:t xml:space="preserve">    该指标满分为4.00分，根据评分标准得4.00分。</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bCs w:val="0"/>
          <w:spacing w:val="-4"/>
          <w:sz w:val="32"/>
          <w:szCs w:val="32"/>
        </w:rPr>
        <w:t xml:space="preserve">    A22绩效指标明确性：</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rPr>
        <w:t xml:space="preserve">    （1）根据新疆维吾尔自治区人民政府国有资产监督管理委员会提供的《部门预算项目支出绩效目标申报表》显示，该项目实施单位已将项目绩效目标细化分解为具体的绩效指标，具体分解内容如下：一级指标</w:t>
      </w:r>
      <w:r>
        <w:rPr>
          <w:rStyle w:val="21"/>
          <w:rFonts w:hint="eastAsia" w:ascii="仿宋_GB2312" w:hAnsi="仿宋_GB2312" w:eastAsia="仿宋_GB2312" w:cs="仿宋_GB2312"/>
          <w:b w:val="0"/>
          <w:bCs/>
          <w:spacing w:val="-4"/>
          <w:sz w:val="32"/>
          <w:szCs w:val="32"/>
          <w:lang w:val="en-US" w:eastAsia="zh-CN"/>
        </w:rPr>
        <w:t>2</w:t>
      </w:r>
      <w:r>
        <w:rPr>
          <w:rStyle w:val="21"/>
          <w:rFonts w:hint="eastAsia" w:ascii="仿宋_GB2312" w:hAnsi="仿宋_GB2312" w:eastAsia="仿宋_GB2312" w:cs="仿宋_GB2312"/>
          <w:b w:val="0"/>
          <w:bCs/>
          <w:spacing w:val="-4"/>
          <w:sz w:val="32"/>
          <w:szCs w:val="32"/>
        </w:rPr>
        <w:t>个，二级指标</w:t>
      </w:r>
      <w:r>
        <w:rPr>
          <w:rStyle w:val="21"/>
          <w:rFonts w:hint="eastAsia" w:ascii="仿宋_GB2312" w:hAnsi="仿宋_GB2312" w:eastAsia="仿宋_GB2312" w:cs="仿宋_GB2312"/>
          <w:b w:val="0"/>
          <w:bCs/>
          <w:spacing w:val="-4"/>
          <w:sz w:val="32"/>
          <w:szCs w:val="32"/>
          <w:lang w:val="en-US" w:eastAsia="zh-CN"/>
        </w:rPr>
        <w:t>5</w:t>
      </w:r>
      <w:r>
        <w:rPr>
          <w:rStyle w:val="21"/>
          <w:rFonts w:hint="eastAsia" w:ascii="仿宋_GB2312" w:hAnsi="仿宋_GB2312" w:eastAsia="仿宋_GB2312" w:cs="仿宋_GB2312"/>
          <w:b w:val="0"/>
          <w:bCs/>
          <w:spacing w:val="-4"/>
          <w:sz w:val="32"/>
          <w:szCs w:val="32"/>
        </w:rPr>
        <w:t>个，三级指标12个。</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rPr>
        <w:t xml:space="preserve">    （2）该项目共设置三级指标12个，其中：定量指标12个，定性指标0个，三级指标量化比率为100.00%，三级指标设置具有明确性、可衡量性、可实现，能有效反映该项目设立的总目标完成情况。</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该指标满分为3.00分，根据评分标准得3.00分。</w:t>
      </w:r>
      <w:r>
        <w:rPr>
          <w:rStyle w:val="21"/>
          <w:rFonts w:hint="eastAsia" w:ascii="仿宋_GB2312" w:hAnsi="仿宋_GB2312" w:eastAsia="仿宋_GB2312" w:cs="仿宋_GB2312"/>
          <w:b w:val="0"/>
          <w:bCs/>
          <w:spacing w:val="-4"/>
          <w:sz w:val="32"/>
          <w:szCs w:val="32"/>
        </w:rPr>
        <w:cr/>
      </w:r>
      <w:r>
        <w:rPr>
          <w:rStyle w:val="21"/>
          <w:rFonts w:hint="eastAsia" w:ascii="仿宋_GB2312" w:hAnsi="仿宋_GB2312" w:eastAsia="仿宋_GB2312" w:cs="仿宋_GB2312"/>
          <w:b/>
          <w:bCs w:val="0"/>
          <w:spacing w:val="-4"/>
          <w:sz w:val="32"/>
          <w:szCs w:val="32"/>
          <w:lang w:val="en-US" w:eastAsia="zh-CN"/>
        </w:rPr>
        <w:t xml:space="preserve">    </w:t>
      </w:r>
      <w:r>
        <w:rPr>
          <w:rStyle w:val="21"/>
          <w:rFonts w:hint="eastAsia" w:ascii="仿宋_GB2312" w:hAnsi="仿宋_GB2312" w:eastAsia="仿宋_GB2312" w:cs="仿宋_GB2312"/>
          <w:b/>
          <w:bCs w:val="0"/>
          <w:spacing w:val="-4"/>
          <w:sz w:val="32"/>
          <w:szCs w:val="32"/>
        </w:rPr>
        <w:t>A31预算编制科学性：</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rPr>
        <w:t xml:space="preserve">    该项目属性为综合业务费，涉及国资委各部门业务数量10余项，由各部门分别编报本部门项目预算后由财务部门汇总生成202</w:t>
      </w:r>
      <w:r>
        <w:rPr>
          <w:rStyle w:val="21"/>
          <w:rFonts w:hint="eastAsia" w:ascii="仿宋_GB2312" w:hAnsi="仿宋_GB2312" w:eastAsia="仿宋_GB2312" w:cs="仿宋_GB2312"/>
          <w:b w:val="0"/>
          <w:bCs/>
          <w:spacing w:val="-4"/>
          <w:sz w:val="32"/>
          <w:szCs w:val="32"/>
          <w:lang w:val="en-US" w:eastAsia="zh-CN"/>
        </w:rPr>
        <w:t>5</w:t>
      </w:r>
      <w:r>
        <w:rPr>
          <w:rStyle w:val="21"/>
          <w:rFonts w:hint="eastAsia" w:ascii="仿宋_GB2312" w:hAnsi="仿宋_GB2312" w:eastAsia="仿宋_GB2312" w:cs="仿宋_GB2312"/>
          <w:b w:val="0"/>
          <w:bCs/>
          <w:spacing w:val="-4"/>
          <w:sz w:val="32"/>
          <w:szCs w:val="32"/>
        </w:rPr>
        <w:t>年度项目总预算上报财政厅。整体预算</w:t>
      </w:r>
      <w:r>
        <w:rPr>
          <w:rStyle w:val="21"/>
          <w:rFonts w:hint="eastAsia" w:ascii="仿宋_GB2312" w:hAnsi="仿宋_GB2312" w:eastAsia="仿宋_GB2312" w:cs="仿宋_GB2312"/>
          <w:b w:val="0"/>
          <w:bCs/>
          <w:spacing w:val="-4"/>
          <w:sz w:val="32"/>
          <w:szCs w:val="32"/>
          <w:lang w:eastAsia="zh-CN"/>
        </w:rPr>
        <w:t>执行与预算编制数存在偏差，差异率</w:t>
      </w:r>
      <w:r>
        <w:rPr>
          <w:rStyle w:val="21"/>
          <w:rFonts w:hint="eastAsia" w:ascii="仿宋_GB2312" w:hAnsi="仿宋_GB2312" w:eastAsia="仿宋_GB2312" w:cs="仿宋_GB2312"/>
          <w:b w:val="0"/>
          <w:bCs/>
          <w:spacing w:val="-4"/>
          <w:sz w:val="32"/>
          <w:szCs w:val="32"/>
          <w:lang w:val="en-US" w:eastAsia="zh-CN"/>
        </w:rPr>
        <w:t>19%</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jc w:val="both"/>
        <w:textAlignment w:val="auto"/>
        <w:outlineLvl w:val="9"/>
        <w:rPr>
          <w:rStyle w:val="21"/>
          <w:rFonts w:hint="eastAsia" w:ascii="仿宋_GB2312" w:hAnsi="仿宋_GB2312" w:eastAsia="仿宋_GB2312" w:cs="仿宋_GB2312"/>
          <w:b w:val="0"/>
          <w:bCs/>
          <w:spacing w:val="-4"/>
          <w:sz w:val="32"/>
          <w:szCs w:val="32"/>
        </w:rPr>
      </w:pPr>
      <w:r>
        <w:rPr>
          <w:rStyle w:val="21"/>
          <w:rFonts w:hint="eastAsia" w:ascii="仿宋_GB2312" w:hAnsi="仿宋_GB2312" w:eastAsia="仿宋_GB2312" w:cs="仿宋_GB2312"/>
          <w:b w:val="0"/>
          <w:bCs/>
          <w:spacing w:val="-4"/>
          <w:sz w:val="32"/>
          <w:szCs w:val="32"/>
        </w:rPr>
        <w:t xml:space="preserve"> 该指标满分为2.00分，根据评分标准得</w:t>
      </w:r>
      <w:r>
        <w:rPr>
          <w:rStyle w:val="21"/>
          <w:rFonts w:hint="eastAsia" w:ascii="仿宋_GB2312" w:hAnsi="仿宋_GB2312" w:eastAsia="仿宋_GB2312" w:cs="仿宋_GB2312"/>
          <w:b w:val="0"/>
          <w:bCs/>
          <w:spacing w:val="-4"/>
          <w:sz w:val="32"/>
          <w:szCs w:val="32"/>
          <w:lang w:val="en-US" w:eastAsia="zh-CN"/>
        </w:rPr>
        <w:t>1.00</w:t>
      </w:r>
      <w:r>
        <w:rPr>
          <w:rStyle w:val="21"/>
          <w:rFonts w:hint="eastAsia" w:ascii="仿宋_GB2312" w:hAnsi="仿宋_GB2312" w:eastAsia="仿宋_GB2312" w:cs="仿宋_GB2312"/>
          <w:b w:val="0"/>
          <w:bCs/>
          <w:spacing w:val="-4"/>
          <w:sz w:val="32"/>
          <w:szCs w:val="32"/>
        </w:rPr>
        <w:t>分。</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bCs w:val="0"/>
          <w:spacing w:val="-4"/>
          <w:sz w:val="32"/>
          <w:szCs w:val="32"/>
        </w:rPr>
        <w:t xml:space="preserve">    A32资金分配合理性：</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rPr>
        <w:t xml:space="preserve">    该项目预算资金实际资金</w:t>
      </w:r>
      <w:r>
        <w:rPr>
          <w:rStyle w:val="21"/>
          <w:rFonts w:hint="eastAsia" w:ascii="仿宋_GB2312" w:hAnsi="仿宋_GB2312" w:eastAsia="仿宋_GB2312" w:cs="仿宋_GB2312"/>
          <w:b w:val="0"/>
          <w:bCs/>
          <w:spacing w:val="-4"/>
          <w:sz w:val="32"/>
          <w:szCs w:val="32"/>
          <w:lang w:val="en-US" w:eastAsia="zh-CN"/>
        </w:rPr>
        <w:t>307.12</w:t>
      </w:r>
      <w:r>
        <w:rPr>
          <w:rStyle w:val="21"/>
          <w:rFonts w:hint="eastAsia" w:ascii="仿宋_GB2312" w:hAnsi="仿宋_GB2312" w:eastAsia="仿宋_GB2312" w:cs="仿宋_GB2312"/>
          <w:b w:val="0"/>
          <w:bCs/>
          <w:spacing w:val="-4"/>
          <w:sz w:val="32"/>
          <w:szCs w:val="32"/>
        </w:rPr>
        <w:t>万元，由于</w:t>
      </w:r>
      <w:r>
        <w:rPr>
          <w:rStyle w:val="21"/>
          <w:rFonts w:hint="eastAsia" w:ascii="仿宋_GB2312" w:hAnsi="仿宋_GB2312" w:eastAsia="仿宋_GB2312" w:cs="仿宋_GB2312"/>
          <w:b w:val="0"/>
          <w:bCs/>
          <w:spacing w:val="-4"/>
          <w:sz w:val="32"/>
          <w:szCs w:val="32"/>
          <w:lang w:eastAsia="zh-CN"/>
        </w:rPr>
        <w:t>预算测算与实际执行率存在差异</w:t>
      </w:r>
      <w:r>
        <w:rPr>
          <w:rStyle w:val="21"/>
          <w:rFonts w:hint="eastAsia" w:ascii="仿宋_GB2312" w:hAnsi="仿宋_GB2312" w:eastAsia="仿宋_GB2312" w:cs="仿宋_GB2312"/>
          <w:b w:val="0"/>
          <w:bCs/>
          <w:spacing w:val="-4"/>
          <w:sz w:val="32"/>
          <w:szCs w:val="32"/>
        </w:rPr>
        <w:t>，造成项目全年预算分配额度与项目年初预算批复额度差异率</w:t>
      </w:r>
      <w:r>
        <w:rPr>
          <w:rStyle w:val="21"/>
          <w:rFonts w:hint="eastAsia" w:ascii="仿宋_GB2312" w:hAnsi="仿宋_GB2312" w:eastAsia="仿宋_GB2312" w:cs="仿宋_GB2312"/>
          <w:b w:val="0"/>
          <w:bCs/>
          <w:spacing w:val="-4"/>
          <w:sz w:val="32"/>
          <w:szCs w:val="32"/>
          <w:lang w:val="en-US" w:eastAsia="zh-CN"/>
        </w:rPr>
        <w:t>-</w:t>
      </w:r>
      <w:r>
        <w:rPr>
          <w:rStyle w:val="21"/>
          <w:rFonts w:hint="eastAsia" w:ascii="仿宋_GB2312" w:hAnsi="仿宋_GB2312" w:eastAsia="仿宋_GB2312" w:cs="仿宋_GB2312"/>
          <w:b w:val="0"/>
          <w:bCs/>
          <w:spacing w:val="-4"/>
          <w:sz w:val="32"/>
          <w:szCs w:val="32"/>
        </w:rPr>
        <w:t>0.</w:t>
      </w:r>
      <w:r>
        <w:rPr>
          <w:rStyle w:val="21"/>
          <w:rFonts w:hint="eastAsia" w:ascii="仿宋_GB2312" w:hAnsi="仿宋_GB2312" w:eastAsia="仿宋_GB2312" w:cs="仿宋_GB2312"/>
          <w:b w:val="0"/>
          <w:bCs/>
          <w:spacing w:val="-4"/>
          <w:sz w:val="32"/>
          <w:szCs w:val="32"/>
          <w:lang w:val="en-US" w:eastAsia="zh-CN"/>
        </w:rPr>
        <w:t>19</w:t>
      </w:r>
      <w:r>
        <w:rPr>
          <w:rStyle w:val="21"/>
          <w:rFonts w:hint="eastAsia" w:ascii="仿宋_GB2312" w:hAnsi="仿宋_GB2312" w:eastAsia="仿宋_GB2312" w:cs="仿宋_GB2312"/>
          <w:b w:val="0"/>
          <w:bCs/>
          <w:spacing w:val="-4"/>
          <w:sz w:val="32"/>
          <w:szCs w:val="32"/>
        </w:rPr>
        <w:t>%。按照评价标准扣除20.00%的权重分值，即0.20分。</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该指标满分为1分，根据评分标准得0.8分。</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564" w:firstLineChars="181"/>
        <w:textAlignment w:val="auto"/>
        <w:outlineLvl w:val="9"/>
        <w:rPr>
          <w:rFonts w:hint="eastAsia" w:ascii="楷体_GB2312" w:hAnsi="楷体_GB2312" w:eastAsia="楷体_GB2312" w:cs="楷体_GB2312"/>
          <w:b w:val="0"/>
          <w:bCs/>
          <w:spacing w:val="-4"/>
          <w:sz w:val="32"/>
          <w:szCs w:val="32"/>
        </w:rPr>
      </w:pPr>
      <w:r>
        <w:rPr>
          <w:rFonts w:hint="eastAsia" w:ascii="楷体_GB2312" w:hAnsi="楷体_GB2312" w:eastAsia="楷体_GB2312" w:cs="楷体_GB2312"/>
          <w:b w:val="0"/>
          <w:bCs/>
          <w:spacing w:val="-4"/>
          <w:sz w:val="32"/>
          <w:szCs w:val="32"/>
        </w:rPr>
        <w:t>（二）项目过程情况。</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567"/>
        <w:jc w:val="left"/>
        <w:textAlignment w:val="auto"/>
        <w:outlineLvl w:val="9"/>
        <w:rPr>
          <w:rStyle w:val="21"/>
          <w:rFonts w:hint="eastAsia" w:ascii="仿宋_GB2312" w:hAnsi="仿宋_GB2312" w:eastAsia="仿宋_GB2312" w:cs="仿宋_GB2312"/>
          <w:b w:val="0"/>
          <w:bCs/>
          <w:spacing w:val="-4"/>
          <w:sz w:val="32"/>
          <w:szCs w:val="32"/>
        </w:rPr>
      </w:pPr>
      <w:r>
        <w:rPr>
          <w:rStyle w:val="21"/>
          <w:rFonts w:hint="eastAsia" w:ascii="仿宋_GB2312" w:hAnsi="仿宋_GB2312" w:eastAsia="仿宋_GB2312" w:cs="仿宋_GB2312"/>
          <w:b w:val="0"/>
          <w:bCs/>
          <w:spacing w:val="-4"/>
          <w:sz w:val="32"/>
          <w:szCs w:val="32"/>
        </w:rPr>
        <w:t>项目过程类指标由2个二级指标和5个三级指标构成，权重分20.00分，实际得分19.</w:t>
      </w:r>
      <w:r>
        <w:rPr>
          <w:rStyle w:val="21"/>
          <w:rFonts w:hint="eastAsia" w:ascii="仿宋_GB2312" w:hAnsi="仿宋_GB2312" w:eastAsia="仿宋_GB2312" w:cs="仿宋_GB2312"/>
          <w:b w:val="0"/>
          <w:bCs/>
          <w:spacing w:val="-4"/>
          <w:sz w:val="32"/>
          <w:szCs w:val="32"/>
          <w:lang w:val="en-US" w:eastAsia="zh-CN"/>
        </w:rPr>
        <w:t>20</w:t>
      </w:r>
      <w:r>
        <w:rPr>
          <w:rStyle w:val="21"/>
          <w:rFonts w:hint="eastAsia" w:ascii="仿宋_GB2312" w:hAnsi="仿宋_GB2312" w:eastAsia="仿宋_GB2312" w:cs="仿宋_GB2312"/>
          <w:b w:val="0"/>
          <w:bCs/>
          <w:spacing w:val="-4"/>
          <w:sz w:val="32"/>
          <w:szCs w:val="32"/>
        </w:rPr>
        <w:t>分。各指标业绩值和绩效分值见</w:t>
      </w:r>
      <w:r>
        <w:rPr>
          <w:rStyle w:val="21"/>
          <w:rFonts w:hint="eastAsia" w:ascii="仿宋_GB2312" w:hAnsi="仿宋_GB2312" w:eastAsia="仿宋_GB2312" w:cs="仿宋_GB2312"/>
          <w:b w:val="0"/>
          <w:bCs/>
          <w:spacing w:val="-4"/>
          <w:sz w:val="32"/>
          <w:szCs w:val="32"/>
          <w:lang w:eastAsia="zh-CN"/>
        </w:rPr>
        <w:t>下表所示</w:t>
      </w:r>
      <w:r>
        <w:rPr>
          <w:rStyle w:val="21"/>
          <w:rFonts w:hint="eastAsia" w:ascii="仿宋_GB2312" w:hAnsi="仿宋_GB2312" w:eastAsia="仿宋_GB2312" w:cs="仿宋_GB2312"/>
          <w:b w:val="0"/>
          <w:bCs/>
          <w:spacing w:val="-4"/>
          <w:sz w:val="32"/>
          <w:szCs w:val="32"/>
        </w:rPr>
        <w:t>：</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rPr>
        <w:t>表3：项目过程类指标及分值</w:t>
      </w:r>
    </w:p>
    <w:tbl>
      <w:tblPr>
        <w:tblStyle w:val="19"/>
        <w:tblW w:w="8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387"/>
        <w:gridCol w:w="2338"/>
        <w:gridCol w:w="1112"/>
        <w:gridCol w:w="1083"/>
        <w:gridCol w:w="892"/>
        <w:gridCol w:w="9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851"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b/>
                <w:sz w:val="24"/>
                <w:szCs w:val="24"/>
              </w:rPr>
            </w:pPr>
            <w:r>
              <w:rPr>
                <w:rFonts w:hint="eastAsia"/>
                <w:b/>
                <w:kern w:val="0"/>
                <w:sz w:val="24"/>
                <w:szCs w:val="24"/>
              </w:rPr>
              <w:t>一级指标</w:t>
            </w:r>
          </w:p>
        </w:tc>
        <w:tc>
          <w:tcPr>
            <w:tcW w:w="1387"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b/>
                <w:sz w:val="24"/>
                <w:szCs w:val="24"/>
              </w:rPr>
            </w:pPr>
            <w:r>
              <w:rPr>
                <w:rFonts w:hint="eastAsia"/>
                <w:b/>
                <w:kern w:val="0"/>
                <w:sz w:val="24"/>
                <w:szCs w:val="24"/>
              </w:rPr>
              <w:t>二级指标</w:t>
            </w:r>
          </w:p>
        </w:tc>
        <w:tc>
          <w:tcPr>
            <w:tcW w:w="2338"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b/>
                <w:sz w:val="24"/>
                <w:szCs w:val="24"/>
              </w:rPr>
            </w:pPr>
            <w:r>
              <w:rPr>
                <w:rFonts w:hint="eastAsia"/>
                <w:b/>
                <w:kern w:val="0"/>
                <w:sz w:val="24"/>
                <w:szCs w:val="24"/>
              </w:rPr>
              <w:t>三级指标</w:t>
            </w:r>
          </w:p>
        </w:tc>
        <w:tc>
          <w:tcPr>
            <w:tcW w:w="1112"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b/>
                <w:sz w:val="24"/>
                <w:szCs w:val="24"/>
              </w:rPr>
            </w:pPr>
            <w:r>
              <w:rPr>
                <w:rFonts w:hint="eastAsia"/>
                <w:b/>
                <w:kern w:val="0"/>
                <w:sz w:val="24"/>
                <w:szCs w:val="24"/>
              </w:rPr>
              <w:t>目标值</w:t>
            </w:r>
          </w:p>
        </w:tc>
        <w:tc>
          <w:tcPr>
            <w:tcW w:w="1083"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b/>
                <w:kern w:val="0"/>
                <w:sz w:val="24"/>
                <w:szCs w:val="24"/>
              </w:rPr>
            </w:pPr>
            <w:r>
              <w:rPr>
                <w:rFonts w:hint="eastAsia"/>
                <w:b/>
                <w:kern w:val="0"/>
                <w:sz w:val="24"/>
                <w:szCs w:val="24"/>
              </w:rPr>
              <w:t>实际完成值</w:t>
            </w:r>
          </w:p>
        </w:tc>
        <w:tc>
          <w:tcPr>
            <w:tcW w:w="892"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b/>
                <w:sz w:val="24"/>
                <w:szCs w:val="24"/>
              </w:rPr>
            </w:pPr>
            <w:r>
              <w:rPr>
                <w:rFonts w:hint="eastAsia"/>
                <w:b/>
                <w:kern w:val="0"/>
                <w:sz w:val="24"/>
                <w:szCs w:val="24"/>
              </w:rPr>
              <w:t>权重</w:t>
            </w:r>
          </w:p>
        </w:tc>
        <w:tc>
          <w:tcPr>
            <w:tcW w:w="911"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b/>
                <w:sz w:val="24"/>
                <w:szCs w:val="24"/>
              </w:rPr>
            </w:pPr>
            <w:r>
              <w:rPr>
                <w:rFonts w:hint="eastAsia"/>
                <w:b/>
                <w:kern w:val="0"/>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51" w:type="dxa"/>
            <w:vMerge w:val="restart"/>
            <w:vAlign w:val="center"/>
          </w:tcPr>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sz w:val="24"/>
                <w:szCs w:val="24"/>
              </w:rPr>
            </w:pPr>
            <w:r>
              <w:rPr>
                <w:rFonts w:hint="eastAsia"/>
                <w:kern w:val="0"/>
                <w:sz w:val="24"/>
                <w:szCs w:val="24"/>
              </w:rPr>
              <w:t>B过程（20.00分）</w:t>
            </w:r>
          </w:p>
        </w:tc>
        <w:tc>
          <w:tcPr>
            <w:tcW w:w="1387" w:type="dxa"/>
            <w:vMerge w:val="restart"/>
            <w:vAlign w:val="center"/>
          </w:tcPr>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kern w:val="0"/>
                <w:sz w:val="24"/>
                <w:szCs w:val="24"/>
              </w:rPr>
            </w:pPr>
            <w:r>
              <w:rPr>
                <w:rFonts w:hint="eastAsia"/>
                <w:kern w:val="0"/>
                <w:sz w:val="24"/>
                <w:szCs w:val="24"/>
              </w:rPr>
              <w:t>B1资金管理（12.00分）　</w:t>
            </w:r>
          </w:p>
        </w:tc>
        <w:tc>
          <w:tcPr>
            <w:tcW w:w="2338"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kern w:val="0"/>
                <w:sz w:val="24"/>
                <w:szCs w:val="24"/>
              </w:rPr>
            </w:pPr>
            <w:r>
              <w:rPr>
                <w:rFonts w:hint="eastAsia"/>
                <w:sz w:val="24"/>
                <w:szCs w:val="24"/>
              </w:rPr>
              <w:t>B11资金到位率</w:t>
            </w:r>
          </w:p>
        </w:tc>
        <w:tc>
          <w:tcPr>
            <w:tcW w:w="1112"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kern w:val="0"/>
                <w:sz w:val="24"/>
                <w:szCs w:val="24"/>
              </w:rPr>
            </w:pPr>
            <w:r>
              <w:rPr>
                <w:rFonts w:hint="eastAsia"/>
                <w:sz w:val="24"/>
                <w:szCs w:val="24"/>
              </w:rPr>
              <w:t>100%</w:t>
            </w:r>
          </w:p>
        </w:tc>
        <w:tc>
          <w:tcPr>
            <w:tcW w:w="1083"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kern w:val="0"/>
                <w:sz w:val="24"/>
                <w:szCs w:val="24"/>
              </w:rPr>
            </w:pPr>
            <w:r>
              <w:rPr>
                <w:rFonts w:hint="eastAsia"/>
                <w:sz w:val="24"/>
                <w:szCs w:val="24"/>
                <w:lang w:val="en-US" w:eastAsia="zh-CN"/>
              </w:rPr>
              <w:t>100</w:t>
            </w:r>
            <w:r>
              <w:rPr>
                <w:rFonts w:hint="eastAsia"/>
                <w:sz w:val="24"/>
                <w:szCs w:val="24"/>
              </w:rPr>
              <w:t>%</w:t>
            </w:r>
          </w:p>
        </w:tc>
        <w:tc>
          <w:tcPr>
            <w:tcW w:w="892"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kern w:val="0"/>
                <w:sz w:val="24"/>
                <w:szCs w:val="24"/>
              </w:rPr>
            </w:pPr>
            <w:r>
              <w:rPr>
                <w:rFonts w:hint="eastAsia"/>
                <w:sz w:val="24"/>
                <w:szCs w:val="24"/>
                <w:lang w:val="en-US" w:eastAsia="zh-CN"/>
              </w:rPr>
              <w:t>4.</w:t>
            </w:r>
            <w:r>
              <w:rPr>
                <w:rFonts w:hint="eastAsia"/>
                <w:sz w:val="24"/>
                <w:szCs w:val="24"/>
              </w:rPr>
              <w:t>00</w:t>
            </w:r>
          </w:p>
        </w:tc>
        <w:tc>
          <w:tcPr>
            <w:tcW w:w="911"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eastAsia="仿宋_GB2312"/>
                <w:kern w:val="0"/>
                <w:sz w:val="24"/>
                <w:szCs w:val="24"/>
                <w:lang w:val="en-US" w:eastAsia="zh-CN"/>
              </w:rPr>
            </w:pPr>
            <w:r>
              <w:rPr>
                <w:rFonts w:hint="eastAsia"/>
                <w:sz w:val="24"/>
                <w:szCs w:val="24"/>
                <w:lang w:val="en-US" w:eastAsia="zh-CN"/>
              </w:rPr>
              <w:t>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1" w:type="dxa"/>
            <w:vMerge w:val="continue"/>
            <w:vAlign w:val="center"/>
          </w:tcPr>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sz w:val="24"/>
                <w:szCs w:val="24"/>
              </w:rPr>
            </w:pPr>
          </w:p>
        </w:tc>
        <w:tc>
          <w:tcPr>
            <w:tcW w:w="1387" w:type="dxa"/>
            <w:vMerge w:val="continue"/>
            <w:vAlign w:val="center"/>
          </w:tcPr>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kern w:val="0"/>
                <w:sz w:val="24"/>
                <w:szCs w:val="24"/>
              </w:rPr>
            </w:pPr>
          </w:p>
        </w:tc>
        <w:tc>
          <w:tcPr>
            <w:tcW w:w="2338"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kern w:val="0"/>
                <w:sz w:val="24"/>
                <w:szCs w:val="24"/>
              </w:rPr>
            </w:pPr>
            <w:r>
              <w:rPr>
                <w:rFonts w:hint="eastAsia"/>
                <w:sz w:val="24"/>
                <w:szCs w:val="24"/>
              </w:rPr>
              <w:t>B12预算执行率</w:t>
            </w:r>
          </w:p>
        </w:tc>
        <w:tc>
          <w:tcPr>
            <w:tcW w:w="1112"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kern w:val="0"/>
                <w:sz w:val="24"/>
                <w:szCs w:val="24"/>
              </w:rPr>
            </w:pPr>
            <w:r>
              <w:rPr>
                <w:rFonts w:hint="eastAsia"/>
                <w:sz w:val="24"/>
                <w:szCs w:val="24"/>
              </w:rPr>
              <w:t>100%</w:t>
            </w:r>
          </w:p>
        </w:tc>
        <w:tc>
          <w:tcPr>
            <w:tcW w:w="1083"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kern w:val="0"/>
                <w:sz w:val="24"/>
                <w:szCs w:val="24"/>
              </w:rPr>
            </w:pPr>
            <w:r>
              <w:rPr>
                <w:rFonts w:hint="eastAsia"/>
                <w:sz w:val="24"/>
                <w:szCs w:val="24"/>
                <w:lang w:val="en-US" w:eastAsia="zh-CN"/>
              </w:rPr>
              <w:t>80.61</w:t>
            </w:r>
            <w:r>
              <w:rPr>
                <w:rFonts w:hint="eastAsia"/>
                <w:sz w:val="24"/>
                <w:szCs w:val="24"/>
              </w:rPr>
              <w:t>%</w:t>
            </w:r>
          </w:p>
        </w:tc>
        <w:tc>
          <w:tcPr>
            <w:tcW w:w="892"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kern w:val="0"/>
                <w:sz w:val="24"/>
                <w:szCs w:val="24"/>
              </w:rPr>
            </w:pPr>
            <w:r>
              <w:rPr>
                <w:rFonts w:hint="eastAsia"/>
                <w:sz w:val="24"/>
                <w:szCs w:val="24"/>
                <w:lang w:val="en-US" w:eastAsia="zh-CN"/>
              </w:rPr>
              <w:t>4</w:t>
            </w:r>
            <w:r>
              <w:rPr>
                <w:rFonts w:hint="eastAsia"/>
                <w:sz w:val="24"/>
                <w:szCs w:val="24"/>
              </w:rPr>
              <w:t>.00</w:t>
            </w:r>
          </w:p>
        </w:tc>
        <w:tc>
          <w:tcPr>
            <w:tcW w:w="911"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eastAsia="宋体"/>
                <w:kern w:val="0"/>
                <w:sz w:val="24"/>
                <w:szCs w:val="24"/>
                <w:lang w:val="en-US" w:eastAsia="zh-CN"/>
              </w:rPr>
            </w:pPr>
            <w:r>
              <w:rPr>
                <w:rFonts w:hint="eastAsia"/>
                <w:sz w:val="24"/>
                <w:szCs w:val="24"/>
                <w:lang w:val="en-US" w:eastAsia="zh-CN"/>
              </w:rPr>
              <w:t>3</w:t>
            </w:r>
            <w:r>
              <w:rPr>
                <w:rFonts w:hint="eastAsia"/>
                <w:sz w:val="24"/>
                <w:szCs w:val="24"/>
              </w:rPr>
              <w:t>.</w:t>
            </w:r>
            <w:r>
              <w:rPr>
                <w:rFonts w:hint="eastAsia"/>
                <w:sz w:val="24"/>
                <w:szCs w:val="24"/>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1" w:type="dxa"/>
            <w:vMerge w:val="continue"/>
            <w:vAlign w:val="center"/>
          </w:tcPr>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sz w:val="24"/>
                <w:szCs w:val="24"/>
              </w:rPr>
            </w:pPr>
          </w:p>
        </w:tc>
        <w:tc>
          <w:tcPr>
            <w:tcW w:w="1387" w:type="dxa"/>
            <w:vMerge w:val="continue"/>
            <w:vAlign w:val="center"/>
          </w:tcPr>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kern w:val="0"/>
                <w:sz w:val="24"/>
                <w:szCs w:val="24"/>
              </w:rPr>
            </w:pPr>
          </w:p>
        </w:tc>
        <w:tc>
          <w:tcPr>
            <w:tcW w:w="2338"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kern w:val="0"/>
                <w:sz w:val="24"/>
                <w:szCs w:val="24"/>
              </w:rPr>
            </w:pPr>
            <w:r>
              <w:rPr>
                <w:rFonts w:hint="eastAsia"/>
                <w:sz w:val="24"/>
                <w:szCs w:val="24"/>
              </w:rPr>
              <w:t>B13资金使用合规性</w:t>
            </w:r>
          </w:p>
        </w:tc>
        <w:tc>
          <w:tcPr>
            <w:tcW w:w="1112"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kern w:val="0"/>
                <w:sz w:val="24"/>
                <w:szCs w:val="24"/>
              </w:rPr>
            </w:pPr>
            <w:r>
              <w:rPr>
                <w:rFonts w:hint="eastAsia"/>
                <w:sz w:val="24"/>
                <w:szCs w:val="24"/>
              </w:rPr>
              <w:t>合规</w:t>
            </w:r>
          </w:p>
        </w:tc>
        <w:tc>
          <w:tcPr>
            <w:tcW w:w="1083"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kern w:val="0"/>
                <w:sz w:val="24"/>
                <w:szCs w:val="24"/>
              </w:rPr>
            </w:pPr>
            <w:r>
              <w:rPr>
                <w:rFonts w:hint="eastAsia"/>
                <w:sz w:val="24"/>
                <w:szCs w:val="24"/>
              </w:rPr>
              <w:t>合规</w:t>
            </w:r>
          </w:p>
        </w:tc>
        <w:tc>
          <w:tcPr>
            <w:tcW w:w="892"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kern w:val="0"/>
                <w:sz w:val="24"/>
                <w:szCs w:val="24"/>
              </w:rPr>
            </w:pPr>
            <w:r>
              <w:rPr>
                <w:rFonts w:hint="eastAsia"/>
                <w:sz w:val="24"/>
                <w:szCs w:val="24"/>
              </w:rPr>
              <w:t>4.00</w:t>
            </w:r>
          </w:p>
        </w:tc>
        <w:tc>
          <w:tcPr>
            <w:tcW w:w="911"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kern w:val="0"/>
                <w:sz w:val="24"/>
                <w:szCs w:val="24"/>
              </w:rPr>
            </w:pPr>
            <w:r>
              <w:rPr>
                <w:rFonts w:hint="eastAsia"/>
                <w:sz w:val="24"/>
                <w:szCs w:val="24"/>
              </w:rPr>
              <w:t>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1" w:type="dxa"/>
            <w:vMerge w:val="continue"/>
            <w:vAlign w:val="center"/>
          </w:tcPr>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sz w:val="24"/>
                <w:szCs w:val="24"/>
              </w:rPr>
            </w:pPr>
          </w:p>
        </w:tc>
        <w:tc>
          <w:tcPr>
            <w:tcW w:w="1387" w:type="dxa"/>
            <w:vMerge w:val="restart"/>
            <w:vAlign w:val="center"/>
          </w:tcPr>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kern w:val="0"/>
                <w:sz w:val="24"/>
                <w:szCs w:val="24"/>
              </w:rPr>
            </w:pPr>
            <w:r>
              <w:rPr>
                <w:rFonts w:hint="eastAsia"/>
                <w:kern w:val="0"/>
                <w:sz w:val="24"/>
                <w:szCs w:val="24"/>
              </w:rPr>
              <w:t>B2组织实施（8.00分）　</w:t>
            </w:r>
          </w:p>
        </w:tc>
        <w:tc>
          <w:tcPr>
            <w:tcW w:w="2338"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kern w:val="0"/>
                <w:sz w:val="24"/>
                <w:szCs w:val="24"/>
              </w:rPr>
            </w:pPr>
            <w:r>
              <w:rPr>
                <w:rFonts w:hint="eastAsia"/>
                <w:sz w:val="24"/>
                <w:szCs w:val="24"/>
              </w:rPr>
              <w:t>B21管理制度健全性</w:t>
            </w:r>
          </w:p>
        </w:tc>
        <w:tc>
          <w:tcPr>
            <w:tcW w:w="1112"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kern w:val="0"/>
                <w:sz w:val="24"/>
                <w:szCs w:val="24"/>
              </w:rPr>
            </w:pPr>
            <w:r>
              <w:rPr>
                <w:rFonts w:hint="eastAsia"/>
                <w:sz w:val="24"/>
                <w:szCs w:val="24"/>
              </w:rPr>
              <w:t>健全</w:t>
            </w:r>
          </w:p>
        </w:tc>
        <w:tc>
          <w:tcPr>
            <w:tcW w:w="1083"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kern w:val="0"/>
                <w:sz w:val="24"/>
                <w:szCs w:val="24"/>
              </w:rPr>
            </w:pPr>
            <w:r>
              <w:rPr>
                <w:rFonts w:hint="eastAsia"/>
                <w:sz w:val="24"/>
                <w:szCs w:val="24"/>
              </w:rPr>
              <w:t>健全</w:t>
            </w:r>
          </w:p>
        </w:tc>
        <w:tc>
          <w:tcPr>
            <w:tcW w:w="892"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kern w:val="0"/>
                <w:sz w:val="24"/>
                <w:szCs w:val="24"/>
              </w:rPr>
            </w:pPr>
            <w:r>
              <w:rPr>
                <w:rFonts w:hint="eastAsia"/>
                <w:sz w:val="24"/>
                <w:szCs w:val="24"/>
                <w:lang w:val="en-US" w:eastAsia="zh-CN"/>
              </w:rPr>
              <w:t>4</w:t>
            </w:r>
            <w:r>
              <w:rPr>
                <w:rFonts w:hint="eastAsia"/>
                <w:sz w:val="24"/>
                <w:szCs w:val="24"/>
              </w:rPr>
              <w:t>.00</w:t>
            </w:r>
          </w:p>
        </w:tc>
        <w:tc>
          <w:tcPr>
            <w:tcW w:w="911"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kern w:val="0"/>
                <w:sz w:val="24"/>
                <w:szCs w:val="24"/>
              </w:rPr>
            </w:pPr>
            <w:r>
              <w:rPr>
                <w:rFonts w:hint="eastAsia"/>
                <w:sz w:val="24"/>
                <w:szCs w:val="24"/>
                <w:lang w:val="en-US" w:eastAsia="zh-CN"/>
              </w:rPr>
              <w:t>4</w:t>
            </w:r>
            <w:r>
              <w:rPr>
                <w:rFonts w:hint="eastAsia"/>
                <w:sz w:val="24"/>
                <w:szCs w:val="24"/>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1" w:type="dxa"/>
            <w:vMerge w:val="continue"/>
            <w:vAlign w:val="center"/>
          </w:tcPr>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sz w:val="24"/>
                <w:szCs w:val="24"/>
              </w:rPr>
            </w:pPr>
          </w:p>
        </w:tc>
        <w:tc>
          <w:tcPr>
            <w:tcW w:w="1387" w:type="dxa"/>
            <w:vMerge w:val="continue"/>
            <w:vAlign w:val="center"/>
          </w:tcPr>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kern w:val="0"/>
                <w:sz w:val="24"/>
                <w:szCs w:val="24"/>
              </w:rPr>
            </w:pPr>
          </w:p>
        </w:tc>
        <w:tc>
          <w:tcPr>
            <w:tcW w:w="2338"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kern w:val="0"/>
                <w:sz w:val="24"/>
                <w:szCs w:val="24"/>
              </w:rPr>
            </w:pPr>
            <w:r>
              <w:rPr>
                <w:rFonts w:hint="eastAsia"/>
                <w:sz w:val="24"/>
                <w:szCs w:val="24"/>
              </w:rPr>
              <w:t>B22制度执行有效性</w:t>
            </w:r>
          </w:p>
        </w:tc>
        <w:tc>
          <w:tcPr>
            <w:tcW w:w="1112"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kern w:val="0"/>
                <w:sz w:val="24"/>
                <w:szCs w:val="24"/>
              </w:rPr>
            </w:pPr>
            <w:r>
              <w:rPr>
                <w:rFonts w:hint="eastAsia"/>
                <w:sz w:val="24"/>
                <w:szCs w:val="24"/>
              </w:rPr>
              <w:t>有效</w:t>
            </w:r>
          </w:p>
        </w:tc>
        <w:tc>
          <w:tcPr>
            <w:tcW w:w="1083"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kern w:val="0"/>
                <w:sz w:val="24"/>
                <w:szCs w:val="24"/>
              </w:rPr>
            </w:pPr>
            <w:r>
              <w:rPr>
                <w:rFonts w:hint="eastAsia"/>
                <w:sz w:val="24"/>
                <w:szCs w:val="24"/>
              </w:rPr>
              <w:t>有效</w:t>
            </w:r>
          </w:p>
        </w:tc>
        <w:tc>
          <w:tcPr>
            <w:tcW w:w="892"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kern w:val="0"/>
                <w:sz w:val="24"/>
                <w:szCs w:val="24"/>
              </w:rPr>
            </w:pPr>
            <w:r>
              <w:rPr>
                <w:rFonts w:hint="eastAsia"/>
                <w:sz w:val="24"/>
                <w:szCs w:val="24"/>
                <w:lang w:val="en-US" w:eastAsia="zh-CN"/>
              </w:rPr>
              <w:t>4</w:t>
            </w:r>
            <w:r>
              <w:rPr>
                <w:rFonts w:hint="eastAsia"/>
                <w:sz w:val="24"/>
                <w:szCs w:val="24"/>
              </w:rPr>
              <w:t>.00</w:t>
            </w:r>
          </w:p>
        </w:tc>
        <w:tc>
          <w:tcPr>
            <w:tcW w:w="911"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kern w:val="0"/>
                <w:sz w:val="24"/>
                <w:szCs w:val="24"/>
              </w:rPr>
            </w:pPr>
            <w:r>
              <w:rPr>
                <w:rFonts w:hint="eastAsia"/>
                <w:sz w:val="24"/>
                <w:szCs w:val="24"/>
                <w:lang w:val="en-US" w:eastAsia="zh-CN"/>
              </w:rPr>
              <w:t>4</w:t>
            </w:r>
            <w:r>
              <w:rPr>
                <w:rFonts w:hint="eastAsia"/>
                <w:sz w:val="24"/>
                <w:szCs w:val="24"/>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576" w:type="dxa"/>
            <w:gridSpan w:val="3"/>
            <w:vAlign w:val="center"/>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sz w:val="24"/>
                <w:szCs w:val="24"/>
              </w:rPr>
            </w:pPr>
            <w:r>
              <w:rPr>
                <w:rFonts w:hint="eastAsia"/>
                <w:kern w:val="0"/>
                <w:sz w:val="24"/>
                <w:szCs w:val="24"/>
              </w:rPr>
              <w:t>合计</w:t>
            </w:r>
          </w:p>
        </w:tc>
        <w:tc>
          <w:tcPr>
            <w:tcW w:w="1112"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kern w:val="0"/>
                <w:sz w:val="24"/>
                <w:szCs w:val="24"/>
              </w:rPr>
            </w:pPr>
          </w:p>
        </w:tc>
        <w:tc>
          <w:tcPr>
            <w:tcW w:w="1083"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kern w:val="0"/>
                <w:sz w:val="24"/>
                <w:szCs w:val="24"/>
              </w:rPr>
            </w:pPr>
          </w:p>
        </w:tc>
        <w:tc>
          <w:tcPr>
            <w:tcW w:w="892"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kern w:val="0"/>
                <w:sz w:val="24"/>
                <w:szCs w:val="24"/>
              </w:rPr>
            </w:pPr>
            <w:r>
              <w:rPr>
                <w:rFonts w:hint="eastAsia"/>
                <w:sz w:val="24"/>
                <w:szCs w:val="24"/>
              </w:rPr>
              <w:t>20.00</w:t>
            </w:r>
          </w:p>
        </w:tc>
        <w:tc>
          <w:tcPr>
            <w:tcW w:w="911"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eastAsia="仿宋_GB2312"/>
                <w:kern w:val="0"/>
                <w:sz w:val="24"/>
                <w:szCs w:val="24"/>
                <w:lang w:val="en-US" w:eastAsia="zh-CN"/>
              </w:rPr>
            </w:pPr>
            <w:r>
              <w:rPr>
                <w:rFonts w:hint="eastAsia"/>
                <w:kern w:val="0"/>
                <w:sz w:val="24"/>
                <w:szCs w:val="24"/>
                <w:lang w:val="en-US" w:eastAsia="zh-CN"/>
              </w:rPr>
              <w:t>19.20</w:t>
            </w:r>
          </w:p>
        </w:tc>
      </w:tr>
    </w:tbl>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jc w:val="left"/>
        <w:textAlignment w:val="auto"/>
        <w:outlineLvl w:val="9"/>
        <w:rPr>
          <w:rStyle w:val="21"/>
          <w:rFonts w:hint="eastAsia" w:ascii="仿宋_GB2312" w:hAnsi="仿宋_GB2312" w:eastAsia="仿宋_GB2312" w:cs="仿宋_GB2312"/>
          <w:b w:val="0"/>
          <w:bCs/>
          <w:spacing w:val="-4"/>
          <w:sz w:val="32"/>
          <w:szCs w:val="32"/>
        </w:rPr>
      </w:pPr>
      <w:r>
        <w:rPr>
          <w:rStyle w:val="21"/>
          <w:rFonts w:hint="eastAsia" w:ascii="仿宋_GB2312" w:hAnsi="仿宋_GB2312" w:eastAsia="仿宋_GB2312" w:cs="仿宋_GB2312"/>
          <w:b w:val="0"/>
          <w:bCs/>
          <w:spacing w:val="-4"/>
          <w:sz w:val="32"/>
          <w:szCs w:val="32"/>
        </w:rPr>
        <w:t>指标得分分析：</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bCs w:val="0"/>
          <w:spacing w:val="-4"/>
          <w:sz w:val="32"/>
          <w:szCs w:val="32"/>
          <w:lang w:val="en-US" w:eastAsia="zh-CN"/>
        </w:rPr>
        <w:t xml:space="preserve">    </w:t>
      </w:r>
      <w:r>
        <w:rPr>
          <w:rStyle w:val="21"/>
          <w:rFonts w:hint="eastAsia" w:ascii="仿宋_GB2312" w:hAnsi="仿宋_GB2312" w:eastAsia="仿宋_GB2312" w:cs="仿宋_GB2312"/>
          <w:b/>
          <w:bCs w:val="0"/>
          <w:spacing w:val="-4"/>
          <w:sz w:val="32"/>
          <w:szCs w:val="32"/>
        </w:rPr>
        <w:t>B11资金到位率：</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根据《关于批复202</w:t>
      </w:r>
      <w:r>
        <w:rPr>
          <w:rStyle w:val="21"/>
          <w:rFonts w:hint="eastAsia" w:ascii="仿宋_GB2312" w:hAnsi="仿宋_GB2312" w:eastAsia="仿宋_GB2312" w:cs="仿宋_GB2312"/>
          <w:b w:val="0"/>
          <w:bCs/>
          <w:spacing w:val="-4"/>
          <w:sz w:val="32"/>
          <w:szCs w:val="32"/>
          <w:lang w:val="en-US" w:eastAsia="zh-CN"/>
        </w:rPr>
        <w:t>5</w:t>
      </w:r>
      <w:r>
        <w:rPr>
          <w:rStyle w:val="21"/>
          <w:rFonts w:hint="eastAsia" w:ascii="仿宋_GB2312" w:hAnsi="仿宋_GB2312" w:eastAsia="仿宋_GB2312" w:cs="仿宋_GB2312"/>
          <w:b w:val="0"/>
          <w:bCs/>
          <w:spacing w:val="-4"/>
          <w:sz w:val="32"/>
          <w:szCs w:val="32"/>
        </w:rPr>
        <w:t>年自治区本级单位部门预算的通知》（新财企〔202</w:t>
      </w:r>
      <w:r>
        <w:rPr>
          <w:rStyle w:val="21"/>
          <w:rFonts w:hint="eastAsia" w:ascii="仿宋_GB2312" w:hAnsi="仿宋_GB2312" w:eastAsia="仿宋_GB2312" w:cs="仿宋_GB2312"/>
          <w:b w:val="0"/>
          <w:bCs/>
          <w:spacing w:val="-4"/>
          <w:sz w:val="32"/>
          <w:szCs w:val="32"/>
          <w:lang w:val="en-US" w:eastAsia="zh-CN"/>
        </w:rPr>
        <w:t>5</w:t>
      </w:r>
      <w:r>
        <w:rPr>
          <w:rStyle w:val="21"/>
          <w:rFonts w:hint="eastAsia" w:ascii="仿宋_GB2312" w:hAnsi="仿宋_GB2312" w:eastAsia="仿宋_GB2312" w:cs="仿宋_GB2312"/>
          <w:b w:val="0"/>
          <w:bCs/>
          <w:spacing w:val="-4"/>
          <w:sz w:val="32"/>
          <w:szCs w:val="32"/>
        </w:rPr>
        <w:t>〕1号）显示，该项目批复</w:t>
      </w:r>
      <w:r>
        <w:rPr>
          <w:rStyle w:val="21"/>
          <w:rFonts w:hint="eastAsia" w:ascii="仿宋_GB2312" w:hAnsi="仿宋_GB2312" w:eastAsia="仿宋_GB2312" w:cs="仿宋_GB2312"/>
          <w:b w:val="0"/>
          <w:bCs/>
          <w:spacing w:val="-4"/>
          <w:sz w:val="32"/>
          <w:szCs w:val="32"/>
          <w:lang w:eastAsia="zh-CN"/>
        </w:rPr>
        <w:t>财政拨款</w:t>
      </w:r>
      <w:r>
        <w:rPr>
          <w:rStyle w:val="21"/>
          <w:rFonts w:hint="eastAsia" w:ascii="仿宋_GB2312" w:hAnsi="仿宋_GB2312" w:eastAsia="仿宋_GB2312" w:cs="仿宋_GB2312"/>
          <w:b w:val="0"/>
          <w:bCs/>
          <w:spacing w:val="-4"/>
          <w:sz w:val="32"/>
          <w:szCs w:val="32"/>
        </w:rPr>
        <w:t>预算3</w:t>
      </w:r>
      <w:r>
        <w:rPr>
          <w:rStyle w:val="21"/>
          <w:rFonts w:hint="eastAsia" w:ascii="仿宋_GB2312" w:hAnsi="仿宋_GB2312" w:eastAsia="仿宋_GB2312" w:cs="仿宋_GB2312"/>
          <w:b w:val="0"/>
          <w:bCs/>
          <w:spacing w:val="-4"/>
          <w:sz w:val="32"/>
          <w:szCs w:val="32"/>
          <w:lang w:val="en-US" w:eastAsia="zh-CN"/>
        </w:rPr>
        <w:t>80</w:t>
      </w:r>
      <w:r>
        <w:rPr>
          <w:rStyle w:val="21"/>
          <w:rFonts w:hint="eastAsia" w:ascii="仿宋_GB2312" w:hAnsi="仿宋_GB2312" w:eastAsia="仿宋_GB2312" w:cs="仿宋_GB2312"/>
          <w:b w:val="0"/>
          <w:bCs/>
          <w:spacing w:val="-4"/>
          <w:sz w:val="32"/>
          <w:szCs w:val="32"/>
        </w:rPr>
        <w:t>万元，实际到位资金3</w:t>
      </w:r>
      <w:r>
        <w:rPr>
          <w:rStyle w:val="21"/>
          <w:rFonts w:hint="eastAsia" w:ascii="仿宋_GB2312" w:hAnsi="仿宋_GB2312" w:eastAsia="仿宋_GB2312" w:cs="仿宋_GB2312"/>
          <w:b w:val="0"/>
          <w:bCs/>
          <w:spacing w:val="-4"/>
          <w:sz w:val="32"/>
          <w:szCs w:val="32"/>
          <w:lang w:val="en-US" w:eastAsia="zh-CN"/>
        </w:rPr>
        <w:t>8</w:t>
      </w:r>
      <w:r>
        <w:rPr>
          <w:rStyle w:val="21"/>
          <w:rFonts w:hint="eastAsia" w:ascii="仿宋_GB2312" w:hAnsi="仿宋_GB2312" w:eastAsia="仿宋_GB2312" w:cs="仿宋_GB2312"/>
          <w:b w:val="0"/>
          <w:bCs/>
          <w:spacing w:val="-4"/>
          <w:sz w:val="32"/>
          <w:szCs w:val="32"/>
        </w:rPr>
        <w:t>0万元，资金到位率</w:t>
      </w:r>
      <w:r>
        <w:rPr>
          <w:rStyle w:val="21"/>
          <w:rFonts w:hint="eastAsia" w:ascii="仿宋_GB2312" w:hAnsi="仿宋_GB2312" w:eastAsia="仿宋_GB2312" w:cs="仿宋_GB2312"/>
          <w:b w:val="0"/>
          <w:bCs/>
          <w:spacing w:val="-4"/>
          <w:sz w:val="32"/>
          <w:szCs w:val="32"/>
          <w:lang w:val="en-US" w:eastAsia="zh-CN"/>
        </w:rPr>
        <w:t>100</w:t>
      </w:r>
      <w:r>
        <w:rPr>
          <w:rStyle w:val="21"/>
          <w:rFonts w:hint="eastAsia" w:ascii="仿宋_GB2312" w:hAnsi="仿宋_GB2312" w:eastAsia="仿宋_GB2312" w:cs="仿宋_GB2312"/>
          <w:b w:val="0"/>
          <w:bCs/>
          <w:spacing w:val="-4"/>
          <w:sz w:val="32"/>
          <w:szCs w:val="32"/>
        </w:rPr>
        <w:t>%。该指标满分为4.00分，得</w:t>
      </w:r>
      <w:r>
        <w:rPr>
          <w:rStyle w:val="21"/>
          <w:rFonts w:hint="eastAsia" w:ascii="仿宋_GB2312" w:hAnsi="仿宋_GB2312" w:eastAsia="仿宋_GB2312" w:cs="仿宋_GB2312"/>
          <w:b w:val="0"/>
          <w:bCs/>
          <w:spacing w:val="-4"/>
          <w:sz w:val="32"/>
          <w:szCs w:val="32"/>
          <w:lang w:val="en-US" w:eastAsia="zh-CN"/>
        </w:rPr>
        <w:t>4.00</w:t>
      </w:r>
      <w:r>
        <w:rPr>
          <w:rStyle w:val="21"/>
          <w:rFonts w:hint="eastAsia" w:ascii="仿宋_GB2312" w:hAnsi="仿宋_GB2312" w:eastAsia="仿宋_GB2312" w:cs="仿宋_GB2312"/>
          <w:b w:val="0"/>
          <w:bCs/>
          <w:spacing w:val="-4"/>
          <w:sz w:val="32"/>
          <w:szCs w:val="32"/>
        </w:rPr>
        <w:t>分。</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bCs w:val="0"/>
          <w:spacing w:val="-4"/>
          <w:sz w:val="32"/>
          <w:szCs w:val="32"/>
        </w:rPr>
        <w:t xml:space="preserve">    B12预算执行率：</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rPr>
        <w:t xml:space="preserve">    该项目采用国库集中支付方式，由财政厅拨付单位执行，项目实际到位资金</w:t>
      </w:r>
      <w:r>
        <w:rPr>
          <w:rStyle w:val="21"/>
          <w:rFonts w:hint="eastAsia" w:ascii="仿宋_GB2312" w:hAnsi="仿宋_GB2312" w:eastAsia="仿宋_GB2312" w:cs="仿宋_GB2312"/>
          <w:b w:val="0"/>
          <w:bCs/>
          <w:spacing w:val="-4"/>
          <w:sz w:val="32"/>
          <w:szCs w:val="32"/>
          <w:lang w:val="en-US" w:eastAsia="zh-CN"/>
        </w:rPr>
        <w:t>380</w:t>
      </w:r>
      <w:r>
        <w:rPr>
          <w:rStyle w:val="21"/>
          <w:rFonts w:hint="eastAsia" w:ascii="仿宋_GB2312" w:hAnsi="仿宋_GB2312" w:eastAsia="仿宋_GB2312" w:cs="仿宋_GB2312"/>
          <w:b w:val="0"/>
          <w:bCs/>
          <w:spacing w:val="-4"/>
          <w:sz w:val="32"/>
          <w:szCs w:val="32"/>
        </w:rPr>
        <w:t>万元，全年支出</w:t>
      </w:r>
      <w:r>
        <w:rPr>
          <w:rStyle w:val="21"/>
          <w:rFonts w:hint="eastAsia" w:ascii="仿宋_GB2312" w:hAnsi="仿宋_GB2312" w:eastAsia="仿宋_GB2312" w:cs="仿宋_GB2312"/>
          <w:b w:val="0"/>
          <w:bCs/>
          <w:spacing w:val="-4"/>
          <w:sz w:val="32"/>
          <w:szCs w:val="32"/>
          <w:lang w:val="en-US" w:eastAsia="zh-CN"/>
        </w:rPr>
        <w:t>370.12</w:t>
      </w:r>
      <w:r>
        <w:rPr>
          <w:rStyle w:val="21"/>
          <w:rFonts w:hint="eastAsia" w:ascii="仿宋_GB2312" w:hAnsi="仿宋_GB2312" w:eastAsia="仿宋_GB2312" w:cs="仿宋_GB2312"/>
          <w:b w:val="0"/>
          <w:bCs/>
          <w:spacing w:val="-4"/>
          <w:sz w:val="32"/>
          <w:szCs w:val="32"/>
        </w:rPr>
        <w:t>万元，预算执行率</w:t>
      </w:r>
      <w:r>
        <w:rPr>
          <w:rStyle w:val="21"/>
          <w:rFonts w:hint="eastAsia" w:ascii="仿宋_GB2312" w:hAnsi="仿宋_GB2312" w:eastAsia="仿宋_GB2312" w:cs="仿宋_GB2312"/>
          <w:b w:val="0"/>
          <w:bCs/>
          <w:spacing w:val="-4"/>
          <w:sz w:val="32"/>
          <w:szCs w:val="32"/>
          <w:lang w:val="en-US" w:eastAsia="zh-CN"/>
        </w:rPr>
        <w:t>80.61</w:t>
      </w:r>
      <w:r>
        <w:rPr>
          <w:rStyle w:val="21"/>
          <w:rFonts w:hint="eastAsia" w:ascii="仿宋_GB2312" w:hAnsi="仿宋_GB2312" w:eastAsia="仿宋_GB2312" w:cs="仿宋_GB2312"/>
          <w:b w:val="0"/>
          <w:bCs/>
          <w:spacing w:val="-4"/>
          <w:sz w:val="32"/>
          <w:szCs w:val="32"/>
        </w:rPr>
        <w:t>%。该指标满分为4.00分，根据评分标准得</w:t>
      </w:r>
      <w:r>
        <w:rPr>
          <w:rStyle w:val="21"/>
          <w:rFonts w:hint="eastAsia" w:ascii="仿宋_GB2312" w:hAnsi="仿宋_GB2312" w:eastAsia="仿宋_GB2312" w:cs="仿宋_GB2312"/>
          <w:b w:val="0"/>
          <w:bCs/>
          <w:spacing w:val="-4"/>
          <w:sz w:val="32"/>
          <w:szCs w:val="32"/>
          <w:lang w:val="en-US" w:eastAsia="zh-CN"/>
        </w:rPr>
        <w:t>3.20</w:t>
      </w:r>
      <w:r>
        <w:rPr>
          <w:rStyle w:val="21"/>
          <w:rFonts w:hint="eastAsia" w:ascii="仿宋_GB2312" w:hAnsi="仿宋_GB2312" w:eastAsia="仿宋_GB2312" w:cs="仿宋_GB2312"/>
          <w:b w:val="0"/>
          <w:bCs/>
          <w:spacing w:val="-4"/>
          <w:sz w:val="32"/>
          <w:szCs w:val="32"/>
        </w:rPr>
        <w:t>分。</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bCs w:val="0"/>
          <w:spacing w:val="-4"/>
          <w:sz w:val="32"/>
          <w:szCs w:val="32"/>
        </w:rPr>
        <w:t xml:space="preserve">    B13资金使用合规性：</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rPr>
        <w:t xml:space="preserve">    经查证项目资金的使用情况，该项目支出符合《预算法》，政府会计准则等相关制度规定。经检查该项目支出资料，未发现截留、挤占、挪用、虚列支出等情况，项目资金使用均有完整的审批程序和手续。该指标满分为4.00分，根据评分标准得4.00分。</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bCs w:val="0"/>
          <w:spacing w:val="-4"/>
          <w:sz w:val="32"/>
          <w:szCs w:val="32"/>
        </w:rPr>
        <w:t xml:space="preserve">    B21管理制度健全性：</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rPr>
        <w:t xml:space="preserve">    该项目使用按照《预算法》、《国资委财务管理暂行办法》、《国资委财政资金绩效管理办法》以及政府会计准则等相关制度规定，用于保障项目的规范实施。经查看上述资金管理办法具体内容，得出其内容合法、合规、完整。该指标满分为4.00分，根据评分标准得4.00分。</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bCs w:val="0"/>
          <w:spacing w:val="-4"/>
          <w:sz w:val="32"/>
          <w:szCs w:val="32"/>
        </w:rPr>
        <w:t xml:space="preserve">    B22制度执行有效性：</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rPr>
        <w:t xml:space="preserve">    经检查，该项目在实际执行过程中未发生</w:t>
      </w:r>
      <w:r>
        <w:rPr>
          <w:rStyle w:val="21"/>
          <w:rFonts w:hint="eastAsia" w:ascii="仿宋_GB2312" w:hAnsi="仿宋_GB2312" w:eastAsia="仿宋_GB2312" w:cs="仿宋_GB2312"/>
          <w:b w:val="0"/>
          <w:bCs/>
          <w:spacing w:val="-4"/>
          <w:sz w:val="32"/>
          <w:szCs w:val="32"/>
          <w:lang w:eastAsia="zh-CN"/>
        </w:rPr>
        <w:t>超标准超预算执行情况</w:t>
      </w:r>
      <w:r>
        <w:rPr>
          <w:rStyle w:val="21"/>
          <w:rFonts w:hint="eastAsia" w:ascii="仿宋_GB2312" w:hAnsi="仿宋_GB2312" w:eastAsia="仿宋_GB2312" w:cs="仿宋_GB2312"/>
          <w:b w:val="0"/>
          <w:bCs/>
          <w:spacing w:val="-4"/>
          <w:sz w:val="32"/>
          <w:szCs w:val="32"/>
        </w:rPr>
        <w:t>，该项目档案较齐全，归档较及时。该指标满分为4.00分，根据评分标准得4.00分。</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564" w:firstLineChars="181"/>
        <w:textAlignment w:val="auto"/>
        <w:outlineLvl w:val="9"/>
        <w:rPr>
          <w:rFonts w:hint="eastAsia" w:ascii="楷体_GB2312" w:hAnsi="楷体_GB2312" w:eastAsia="楷体_GB2312" w:cs="楷体_GB2312"/>
          <w:b w:val="0"/>
          <w:bCs/>
          <w:spacing w:val="-4"/>
          <w:sz w:val="32"/>
          <w:szCs w:val="32"/>
        </w:rPr>
      </w:pPr>
      <w:r>
        <w:rPr>
          <w:rFonts w:hint="eastAsia" w:ascii="楷体_GB2312" w:hAnsi="楷体_GB2312" w:eastAsia="楷体_GB2312" w:cs="楷体_GB2312"/>
          <w:b w:val="0"/>
          <w:bCs/>
          <w:spacing w:val="-4"/>
          <w:sz w:val="32"/>
          <w:szCs w:val="32"/>
        </w:rPr>
        <w:t>（三）项目产出情况。</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567"/>
        <w:textAlignment w:val="auto"/>
        <w:outlineLvl w:val="9"/>
        <w:rPr>
          <w:rStyle w:val="21"/>
          <w:rFonts w:hint="eastAsia" w:ascii="仿宋_GB2312" w:hAnsi="仿宋_GB2312" w:eastAsia="仿宋_GB2312" w:cs="仿宋_GB2312"/>
          <w:b w:val="0"/>
          <w:bCs/>
          <w:spacing w:val="-4"/>
          <w:sz w:val="32"/>
          <w:szCs w:val="32"/>
        </w:rPr>
      </w:pPr>
      <w:r>
        <w:rPr>
          <w:rStyle w:val="21"/>
          <w:rFonts w:hint="eastAsia" w:ascii="仿宋_GB2312" w:hAnsi="仿宋_GB2312" w:eastAsia="仿宋_GB2312" w:cs="仿宋_GB2312"/>
          <w:b w:val="0"/>
          <w:bCs/>
          <w:spacing w:val="-4"/>
          <w:sz w:val="32"/>
          <w:szCs w:val="32"/>
        </w:rPr>
        <w:t>项目产出指标由3个二级和</w:t>
      </w:r>
      <w:r>
        <w:rPr>
          <w:rStyle w:val="21"/>
          <w:rFonts w:hint="eastAsia" w:ascii="仿宋_GB2312" w:hAnsi="仿宋_GB2312" w:eastAsia="仿宋_GB2312" w:cs="仿宋_GB2312"/>
          <w:b w:val="0"/>
          <w:bCs/>
          <w:spacing w:val="-4"/>
          <w:sz w:val="32"/>
          <w:szCs w:val="32"/>
          <w:lang w:val="en-US" w:eastAsia="zh-CN"/>
        </w:rPr>
        <w:t>10</w:t>
      </w:r>
      <w:r>
        <w:rPr>
          <w:rStyle w:val="21"/>
          <w:rFonts w:hint="eastAsia" w:ascii="仿宋_GB2312" w:hAnsi="仿宋_GB2312" w:eastAsia="仿宋_GB2312" w:cs="仿宋_GB2312"/>
          <w:b w:val="0"/>
          <w:bCs/>
          <w:spacing w:val="-4"/>
          <w:sz w:val="32"/>
          <w:szCs w:val="32"/>
        </w:rPr>
        <w:t>个三级指标构成，权重分值30.00 分，实际得分</w:t>
      </w:r>
      <w:r>
        <w:rPr>
          <w:rStyle w:val="21"/>
          <w:rFonts w:hint="eastAsia" w:ascii="仿宋_GB2312" w:hAnsi="仿宋_GB2312" w:eastAsia="仿宋_GB2312" w:cs="仿宋_GB2312"/>
          <w:b w:val="0"/>
          <w:bCs/>
          <w:spacing w:val="-4"/>
          <w:sz w:val="32"/>
          <w:szCs w:val="32"/>
          <w:lang w:val="en-US" w:eastAsia="zh-CN"/>
        </w:rPr>
        <w:t>28.00</w:t>
      </w:r>
      <w:r>
        <w:rPr>
          <w:rStyle w:val="21"/>
          <w:rFonts w:hint="eastAsia" w:ascii="仿宋_GB2312" w:hAnsi="仿宋_GB2312" w:eastAsia="仿宋_GB2312" w:cs="仿宋_GB2312"/>
          <w:b w:val="0"/>
          <w:bCs/>
          <w:spacing w:val="-4"/>
          <w:sz w:val="32"/>
          <w:szCs w:val="32"/>
        </w:rPr>
        <w:t>分。各指标业绩值和绩效分值如下表所示：</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rPr>
        <w:t>表4：项目产出类指标及分值</w:t>
      </w:r>
    </w:p>
    <w:tbl>
      <w:tblPr>
        <w:tblStyle w:val="19"/>
        <w:tblpPr w:leftFromText="180" w:rightFromText="180" w:vertAnchor="text" w:horzAnchor="page" w:tblpXSpec="center" w:tblpY="312"/>
        <w:tblOverlap w:val="never"/>
        <w:tblW w:w="8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1550"/>
        <w:gridCol w:w="1985"/>
        <w:gridCol w:w="1342"/>
        <w:gridCol w:w="1148"/>
        <w:gridCol w:w="887"/>
        <w:gridCol w:w="8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6"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b/>
                <w:sz w:val="24"/>
                <w:szCs w:val="24"/>
              </w:rPr>
            </w:pPr>
            <w:r>
              <w:rPr>
                <w:rFonts w:hint="eastAsia"/>
                <w:b/>
                <w:kern w:val="0"/>
                <w:sz w:val="24"/>
                <w:szCs w:val="24"/>
              </w:rPr>
              <w:t>一级指标</w:t>
            </w:r>
          </w:p>
        </w:tc>
        <w:tc>
          <w:tcPr>
            <w:tcW w:w="1550"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b/>
                <w:sz w:val="24"/>
                <w:szCs w:val="24"/>
              </w:rPr>
            </w:pPr>
            <w:r>
              <w:rPr>
                <w:rFonts w:hint="eastAsia"/>
                <w:b/>
                <w:kern w:val="0"/>
                <w:sz w:val="24"/>
                <w:szCs w:val="24"/>
              </w:rPr>
              <w:t>二级指标</w:t>
            </w:r>
          </w:p>
        </w:tc>
        <w:tc>
          <w:tcPr>
            <w:tcW w:w="1985"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b/>
                <w:sz w:val="24"/>
                <w:szCs w:val="24"/>
              </w:rPr>
            </w:pPr>
            <w:r>
              <w:rPr>
                <w:rFonts w:hint="eastAsia"/>
                <w:b/>
                <w:kern w:val="0"/>
                <w:sz w:val="24"/>
                <w:szCs w:val="24"/>
              </w:rPr>
              <w:t>三级指标</w:t>
            </w:r>
          </w:p>
        </w:tc>
        <w:tc>
          <w:tcPr>
            <w:tcW w:w="1342"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b/>
                <w:sz w:val="24"/>
                <w:szCs w:val="24"/>
              </w:rPr>
            </w:pPr>
            <w:r>
              <w:rPr>
                <w:rFonts w:hint="eastAsia"/>
                <w:b/>
                <w:kern w:val="0"/>
                <w:sz w:val="24"/>
                <w:szCs w:val="24"/>
              </w:rPr>
              <w:t>目标值</w:t>
            </w:r>
          </w:p>
        </w:tc>
        <w:tc>
          <w:tcPr>
            <w:tcW w:w="1148"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b/>
                <w:kern w:val="0"/>
                <w:sz w:val="24"/>
                <w:szCs w:val="24"/>
              </w:rPr>
            </w:pPr>
            <w:r>
              <w:rPr>
                <w:rFonts w:hint="eastAsia"/>
                <w:b/>
                <w:kern w:val="0"/>
                <w:sz w:val="24"/>
                <w:szCs w:val="24"/>
              </w:rPr>
              <w:t>实际完成值</w:t>
            </w:r>
          </w:p>
        </w:tc>
        <w:tc>
          <w:tcPr>
            <w:tcW w:w="887"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b/>
                <w:sz w:val="24"/>
                <w:szCs w:val="24"/>
              </w:rPr>
            </w:pPr>
            <w:r>
              <w:rPr>
                <w:rFonts w:hint="eastAsia"/>
                <w:b/>
                <w:kern w:val="0"/>
                <w:sz w:val="24"/>
                <w:szCs w:val="24"/>
              </w:rPr>
              <w:t>权重</w:t>
            </w:r>
          </w:p>
        </w:tc>
        <w:tc>
          <w:tcPr>
            <w:tcW w:w="836"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b/>
                <w:sz w:val="24"/>
                <w:szCs w:val="24"/>
              </w:rPr>
            </w:pPr>
            <w:r>
              <w:rPr>
                <w:rFonts w:hint="eastAsia"/>
                <w:b/>
                <w:kern w:val="0"/>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6" w:type="dxa"/>
            <w:vMerge w:val="restart"/>
            <w:vAlign w:val="center"/>
          </w:tcPr>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sz w:val="24"/>
                <w:szCs w:val="24"/>
              </w:rPr>
            </w:pPr>
            <w:r>
              <w:rPr>
                <w:rFonts w:hint="eastAsia"/>
                <w:kern w:val="0"/>
                <w:sz w:val="24"/>
                <w:szCs w:val="24"/>
              </w:rPr>
              <w:t>C产出（30分）</w:t>
            </w:r>
          </w:p>
        </w:tc>
        <w:tc>
          <w:tcPr>
            <w:tcW w:w="1550"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kern w:val="0"/>
                <w:sz w:val="24"/>
                <w:szCs w:val="24"/>
              </w:rPr>
            </w:pPr>
            <w:r>
              <w:rPr>
                <w:rFonts w:hint="eastAsia"/>
                <w:kern w:val="0"/>
                <w:sz w:val="24"/>
                <w:szCs w:val="24"/>
              </w:rPr>
              <w:t>C1产出数量（</w:t>
            </w:r>
            <w:r>
              <w:rPr>
                <w:rFonts w:hint="eastAsia"/>
                <w:kern w:val="0"/>
                <w:sz w:val="24"/>
                <w:szCs w:val="24"/>
                <w:lang w:val="en-US" w:eastAsia="zh-CN"/>
              </w:rPr>
              <w:t>18</w:t>
            </w:r>
            <w:r>
              <w:rPr>
                <w:rFonts w:hint="eastAsia"/>
                <w:kern w:val="0"/>
                <w:sz w:val="24"/>
                <w:szCs w:val="24"/>
              </w:rPr>
              <w:t>.00分）</w:t>
            </w:r>
          </w:p>
        </w:tc>
        <w:tc>
          <w:tcPr>
            <w:tcW w:w="1985"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kern w:val="0"/>
                <w:sz w:val="24"/>
                <w:szCs w:val="24"/>
              </w:rPr>
            </w:pPr>
            <w:r>
              <w:rPr>
                <w:rFonts w:hint="eastAsia"/>
                <w:sz w:val="24"/>
                <w:szCs w:val="24"/>
              </w:rPr>
              <w:t>C11</w:t>
            </w:r>
            <w:r>
              <w:rPr>
                <w:rFonts w:hint="eastAsia"/>
                <w:sz w:val="24"/>
                <w:szCs w:val="24"/>
                <w:lang w:val="en-US" w:eastAsia="zh-CN"/>
              </w:rPr>
              <w:t>-C16</w:t>
            </w:r>
            <w:r>
              <w:rPr>
                <w:rFonts w:hint="eastAsia"/>
                <w:sz w:val="24"/>
                <w:szCs w:val="24"/>
              </w:rPr>
              <w:t>开展监管业务数量指标</w:t>
            </w:r>
          </w:p>
        </w:tc>
        <w:tc>
          <w:tcPr>
            <w:tcW w:w="1342"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lang w:val="en-US" w:eastAsia="zh-CN"/>
              </w:rPr>
              <w:t>6</w:t>
            </w:r>
          </w:p>
        </w:tc>
        <w:tc>
          <w:tcPr>
            <w:tcW w:w="1148"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sz w:val="24"/>
                <w:szCs w:val="24"/>
                <w:lang w:val="en-US" w:eastAsia="zh-CN"/>
              </w:rPr>
              <w:t>5.5</w:t>
            </w:r>
          </w:p>
        </w:tc>
        <w:tc>
          <w:tcPr>
            <w:tcW w:w="887"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lang w:val="en-US" w:eastAsia="zh-CN"/>
              </w:rPr>
              <w:t>18</w:t>
            </w:r>
            <w:r>
              <w:rPr>
                <w:rFonts w:hint="eastAsia" w:ascii="仿宋_GB2312" w:hAnsi="仿宋_GB2312" w:eastAsia="仿宋_GB2312" w:cs="仿宋_GB2312"/>
                <w:sz w:val="24"/>
                <w:szCs w:val="24"/>
              </w:rPr>
              <w:t>.00</w:t>
            </w:r>
          </w:p>
        </w:tc>
        <w:tc>
          <w:tcPr>
            <w:tcW w:w="836"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sz w:val="24"/>
                <w:szCs w:val="24"/>
                <w:lang w:val="en-US" w:eastAsia="zh-CN"/>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jc w:val="center"/>
        </w:trPr>
        <w:tc>
          <w:tcPr>
            <w:tcW w:w="826" w:type="dxa"/>
            <w:vMerge w:val="continue"/>
            <w:vAlign w:val="center"/>
          </w:tcPr>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sz w:val="24"/>
                <w:szCs w:val="24"/>
              </w:rPr>
            </w:pPr>
          </w:p>
        </w:tc>
        <w:tc>
          <w:tcPr>
            <w:tcW w:w="1550"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kern w:val="0"/>
                <w:sz w:val="24"/>
                <w:szCs w:val="24"/>
              </w:rPr>
            </w:pPr>
            <w:r>
              <w:rPr>
                <w:rFonts w:hint="eastAsia"/>
                <w:kern w:val="0"/>
                <w:sz w:val="24"/>
                <w:szCs w:val="24"/>
              </w:rPr>
              <w:t>C2产出质量（</w:t>
            </w:r>
            <w:r>
              <w:rPr>
                <w:rFonts w:hint="eastAsia"/>
                <w:kern w:val="0"/>
                <w:sz w:val="24"/>
                <w:szCs w:val="24"/>
                <w:lang w:val="en-US" w:eastAsia="zh-CN"/>
              </w:rPr>
              <w:t>6</w:t>
            </w:r>
            <w:r>
              <w:rPr>
                <w:rFonts w:hint="eastAsia"/>
                <w:kern w:val="0"/>
                <w:sz w:val="24"/>
                <w:szCs w:val="24"/>
              </w:rPr>
              <w:t>.00分）</w:t>
            </w:r>
          </w:p>
        </w:tc>
        <w:tc>
          <w:tcPr>
            <w:tcW w:w="1985"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kern w:val="0"/>
                <w:sz w:val="24"/>
                <w:szCs w:val="24"/>
              </w:rPr>
            </w:pPr>
            <w:r>
              <w:rPr>
                <w:rFonts w:hint="eastAsia"/>
                <w:sz w:val="24"/>
                <w:szCs w:val="24"/>
              </w:rPr>
              <w:t>C21</w:t>
            </w:r>
            <w:r>
              <w:rPr>
                <w:rFonts w:hint="eastAsia"/>
                <w:sz w:val="24"/>
                <w:szCs w:val="24"/>
                <w:lang w:val="en-US" w:eastAsia="zh-CN"/>
              </w:rPr>
              <w:t>-C22</w:t>
            </w:r>
            <w:r>
              <w:rPr>
                <w:rFonts w:hint="eastAsia"/>
                <w:sz w:val="24"/>
                <w:szCs w:val="24"/>
              </w:rPr>
              <w:t>重点业务完成率</w:t>
            </w:r>
          </w:p>
        </w:tc>
        <w:tc>
          <w:tcPr>
            <w:tcW w:w="1342"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sz w:val="24"/>
                <w:szCs w:val="24"/>
                <w:lang w:val="en-US" w:eastAsia="zh-CN"/>
              </w:rPr>
              <w:t>2</w:t>
            </w:r>
          </w:p>
        </w:tc>
        <w:tc>
          <w:tcPr>
            <w:tcW w:w="1148"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887"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.00</w:t>
            </w:r>
          </w:p>
        </w:tc>
        <w:tc>
          <w:tcPr>
            <w:tcW w:w="836"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6" w:type="dxa"/>
            <w:vMerge w:val="continue"/>
            <w:vAlign w:val="center"/>
          </w:tcPr>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sz w:val="24"/>
                <w:szCs w:val="24"/>
              </w:rPr>
            </w:pPr>
          </w:p>
        </w:tc>
        <w:tc>
          <w:tcPr>
            <w:tcW w:w="1550"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kern w:val="0"/>
                <w:sz w:val="24"/>
                <w:szCs w:val="24"/>
              </w:rPr>
            </w:pPr>
            <w:r>
              <w:rPr>
                <w:rFonts w:hint="eastAsia"/>
                <w:kern w:val="0"/>
                <w:sz w:val="24"/>
                <w:szCs w:val="24"/>
              </w:rPr>
              <w:t>C3产出时效（</w:t>
            </w:r>
            <w:r>
              <w:rPr>
                <w:rFonts w:hint="eastAsia"/>
                <w:kern w:val="0"/>
                <w:sz w:val="24"/>
                <w:szCs w:val="24"/>
                <w:lang w:val="en-US" w:eastAsia="zh-CN"/>
              </w:rPr>
              <w:t>6</w:t>
            </w:r>
            <w:r>
              <w:rPr>
                <w:rFonts w:hint="eastAsia"/>
                <w:kern w:val="0"/>
                <w:sz w:val="24"/>
                <w:szCs w:val="24"/>
              </w:rPr>
              <w:t>.00分）</w:t>
            </w:r>
          </w:p>
        </w:tc>
        <w:tc>
          <w:tcPr>
            <w:tcW w:w="1985"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kern w:val="0"/>
                <w:sz w:val="24"/>
                <w:szCs w:val="24"/>
              </w:rPr>
            </w:pPr>
            <w:r>
              <w:rPr>
                <w:rFonts w:hint="eastAsia"/>
                <w:sz w:val="24"/>
                <w:szCs w:val="24"/>
              </w:rPr>
              <w:t>C31</w:t>
            </w:r>
            <w:r>
              <w:rPr>
                <w:rFonts w:hint="eastAsia"/>
                <w:sz w:val="24"/>
                <w:szCs w:val="24"/>
                <w:lang w:val="en-US" w:eastAsia="zh-CN"/>
              </w:rPr>
              <w:t>-C32</w:t>
            </w:r>
            <w:r>
              <w:rPr>
                <w:rFonts w:hint="eastAsia"/>
                <w:sz w:val="24"/>
                <w:szCs w:val="24"/>
              </w:rPr>
              <w:t>重点业务按期完成率</w:t>
            </w:r>
          </w:p>
        </w:tc>
        <w:tc>
          <w:tcPr>
            <w:tcW w:w="1342"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lang w:val="en-US" w:eastAsia="zh-CN"/>
              </w:rPr>
              <w:t>2</w:t>
            </w:r>
          </w:p>
        </w:tc>
        <w:tc>
          <w:tcPr>
            <w:tcW w:w="1148"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p>
        </w:tc>
        <w:tc>
          <w:tcPr>
            <w:tcW w:w="887"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.00</w:t>
            </w:r>
          </w:p>
        </w:tc>
        <w:tc>
          <w:tcPr>
            <w:tcW w:w="836"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361" w:type="dxa"/>
            <w:gridSpan w:val="3"/>
            <w:vAlign w:val="center"/>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sz w:val="24"/>
                <w:szCs w:val="24"/>
              </w:rPr>
            </w:pPr>
            <w:r>
              <w:rPr>
                <w:rFonts w:hint="eastAsia"/>
                <w:kern w:val="0"/>
                <w:sz w:val="24"/>
                <w:szCs w:val="24"/>
              </w:rPr>
              <w:t>合计</w:t>
            </w:r>
          </w:p>
        </w:tc>
        <w:tc>
          <w:tcPr>
            <w:tcW w:w="1342"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10</w:t>
            </w:r>
          </w:p>
        </w:tc>
        <w:tc>
          <w:tcPr>
            <w:tcW w:w="1148"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9.5</w:t>
            </w:r>
          </w:p>
        </w:tc>
        <w:tc>
          <w:tcPr>
            <w:tcW w:w="887"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30.00</w:t>
            </w:r>
          </w:p>
        </w:tc>
        <w:tc>
          <w:tcPr>
            <w:tcW w:w="836"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28.00</w:t>
            </w:r>
          </w:p>
        </w:tc>
      </w:tr>
    </w:tbl>
    <w:p>
      <w:pPr>
        <w:pStyle w:val="16"/>
        <w:keepNext w:val="0"/>
        <w:keepLines w:val="0"/>
        <w:widowControl/>
        <w:numPr>
          <w:ilvl w:val="0"/>
          <w:numId w:val="0"/>
        </w:numPr>
        <w:suppressLineNumbers w:val="0"/>
        <w:ind w:firstLine="626" w:firstLineChars="200"/>
        <w:rPr>
          <w:rStyle w:val="21"/>
          <w:rFonts w:hint="eastAsia" w:ascii="仿宋_GB2312" w:hAnsi="仿宋_GB2312" w:eastAsia="仿宋_GB2312" w:cs="仿宋_GB2312"/>
          <w:b w:val="0"/>
          <w:bCs/>
          <w:spacing w:val="-4"/>
          <w:sz w:val="32"/>
          <w:szCs w:val="32"/>
        </w:rPr>
      </w:pPr>
      <w:r>
        <w:rPr>
          <w:rStyle w:val="21"/>
          <w:rFonts w:hint="eastAsia" w:ascii="仿宋_GB2312" w:hAnsi="仿宋_GB2312" w:eastAsia="仿宋_GB2312" w:cs="仿宋_GB2312"/>
          <w:b/>
          <w:bCs w:val="0"/>
          <w:spacing w:val="-4"/>
          <w:sz w:val="32"/>
          <w:szCs w:val="32"/>
          <w:lang w:val="en-US" w:eastAsia="zh-CN"/>
        </w:rPr>
        <w:t>1.</w:t>
      </w:r>
      <w:r>
        <w:rPr>
          <w:rStyle w:val="21"/>
          <w:rFonts w:hint="eastAsia" w:ascii="仿宋_GB2312" w:hAnsi="仿宋_GB2312" w:eastAsia="仿宋_GB2312" w:cs="仿宋_GB2312"/>
          <w:b/>
          <w:bCs w:val="0"/>
          <w:spacing w:val="-4"/>
          <w:sz w:val="32"/>
          <w:szCs w:val="32"/>
        </w:rPr>
        <w:t>产出数量</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C11委托中介机构对出资企业国企改革质效、企业内控建设等方面开展后评价≥</w:t>
      </w:r>
      <w:r>
        <w:rPr>
          <w:rStyle w:val="21"/>
          <w:rFonts w:hint="eastAsia" w:ascii="仿宋_GB2312" w:hAnsi="仿宋_GB2312" w:eastAsia="仿宋_GB2312" w:cs="仿宋_GB2312"/>
          <w:b w:val="0"/>
          <w:bCs/>
          <w:spacing w:val="-4"/>
          <w:sz w:val="32"/>
          <w:szCs w:val="32"/>
          <w:lang w:val="en-US" w:eastAsia="zh-CN"/>
        </w:rPr>
        <w:t>4</w:t>
      </w:r>
      <w:r>
        <w:rPr>
          <w:rStyle w:val="21"/>
          <w:rFonts w:hint="eastAsia" w:ascii="仿宋_GB2312" w:hAnsi="仿宋_GB2312" w:eastAsia="仿宋_GB2312" w:cs="仿宋_GB2312"/>
          <w:b w:val="0"/>
          <w:bCs/>
          <w:spacing w:val="-4"/>
          <w:sz w:val="32"/>
          <w:szCs w:val="32"/>
        </w:rPr>
        <w:t>次；指标完成值</w:t>
      </w:r>
      <w:r>
        <w:rPr>
          <w:rStyle w:val="21"/>
          <w:rFonts w:hint="eastAsia" w:ascii="仿宋_GB2312" w:hAnsi="仿宋_GB2312" w:eastAsia="仿宋_GB2312" w:cs="仿宋_GB2312"/>
          <w:b w:val="0"/>
          <w:bCs/>
          <w:spacing w:val="-4"/>
          <w:sz w:val="32"/>
          <w:szCs w:val="32"/>
          <w:lang w:val="en-US" w:eastAsia="zh-CN"/>
        </w:rPr>
        <w:t>4</w:t>
      </w:r>
      <w:r>
        <w:rPr>
          <w:rStyle w:val="21"/>
          <w:rFonts w:hint="eastAsia" w:ascii="仿宋_GB2312" w:hAnsi="仿宋_GB2312" w:eastAsia="仿宋_GB2312" w:cs="仿宋_GB2312"/>
          <w:b w:val="0"/>
          <w:bCs/>
          <w:spacing w:val="-4"/>
          <w:sz w:val="32"/>
          <w:szCs w:val="32"/>
        </w:rPr>
        <w:t>次，指标完成率100%。主要有：对</w:t>
      </w:r>
      <w:r>
        <w:rPr>
          <w:rStyle w:val="21"/>
          <w:rFonts w:hint="eastAsia" w:ascii="仿宋_GB2312" w:hAnsi="仿宋_GB2312" w:eastAsia="仿宋_GB2312" w:cs="仿宋_GB2312"/>
          <w:b w:val="0"/>
          <w:bCs/>
          <w:spacing w:val="-4"/>
          <w:sz w:val="32"/>
          <w:szCs w:val="32"/>
          <w:lang w:eastAsia="zh-CN"/>
        </w:rPr>
        <w:t>区属国有企业开展国企改革质效评价</w:t>
      </w:r>
      <w:r>
        <w:rPr>
          <w:rStyle w:val="21"/>
          <w:rFonts w:hint="eastAsia" w:ascii="仿宋_GB2312" w:hAnsi="仿宋_GB2312" w:eastAsia="仿宋_GB2312" w:cs="仿宋_GB2312"/>
          <w:b w:val="0"/>
          <w:bCs/>
          <w:spacing w:val="-4"/>
          <w:sz w:val="32"/>
          <w:szCs w:val="32"/>
        </w:rPr>
        <w:t>、违规经营责任追究、</w:t>
      </w:r>
      <w:r>
        <w:rPr>
          <w:rStyle w:val="21"/>
          <w:rFonts w:hint="eastAsia" w:ascii="仿宋_GB2312" w:hAnsi="仿宋_GB2312" w:eastAsia="仿宋_GB2312" w:cs="仿宋_GB2312"/>
          <w:b w:val="0"/>
          <w:bCs/>
          <w:spacing w:val="-4"/>
          <w:sz w:val="32"/>
          <w:szCs w:val="32"/>
          <w:lang w:val="en-US" w:eastAsia="zh-CN"/>
        </w:rPr>
        <w:t>对企业招标投标领域突出问题系统整治指导检查、企业工资总额管理专项审计等</w:t>
      </w:r>
      <w:r>
        <w:rPr>
          <w:rStyle w:val="21"/>
          <w:rFonts w:hint="eastAsia" w:ascii="仿宋_GB2312" w:hAnsi="仿宋_GB2312" w:eastAsia="仿宋_GB2312" w:cs="仿宋_GB2312"/>
          <w:b w:val="0"/>
          <w:bCs/>
          <w:spacing w:val="-4"/>
          <w:sz w:val="32"/>
          <w:szCs w:val="32"/>
        </w:rPr>
        <w:t>检查</w:t>
      </w:r>
      <w:r>
        <w:rPr>
          <w:rStyle w:val="21"/>
          <w:rFonts w:hint="eastAsia" w:ascii="仿宋_GB2312" w:hAnsi="仿宋_GB2312" w:eastAsia="仿宋_GB2312" w:cs="仿宋_GB2312"/>
          <w:b w:val="0"/>
          <w:bCs/>
          <w:spacing w:val="-4"/>
          <w:sz w:val="32"/>
          <w:szCs w:val="32"/>
          <w:lang w:eastAsia="zh-CN"/>
        </w:rPr>
        <w:t>，</w:t>
      </w:r>
      <w:r>
        <w:rPr>
          <w:rStyle w:val="21"/>
          <w:rFonts w:hint="eastAsia" w:ascii="仿宋_GB2312" w:hAnsi="仿宋_GB2312" w:eastAsia="仿宋_GB2312" w:cs="仿宋_GB2312"/>
          <w:b w:val="0"/>
          <w:bCs/>
          <w:spacing w:val="-4"/>
          <w:sz w:val="32"/>
          <w:szCs w:val="32"/>
        </w:rPr>
        <w:t>该指标满分为</w:t>
      </w:r>
      <w:r>
        <w:rPr>
          <w:rStyle w:val="21"/>
          <w:rFonts w:hint="eastAsia" w:ascii="仿宋_GB2312" w:hAnsi="仿宋_GB2312" w:eastAsia="仿宋_GB2312" w:cs="仿宋_GB2312"/>
          <w:b w:val="0"/>
          <w:bCs/>
          <w:spacing w:val="-4"/>
          <w:sz w:val="32"/>
          <w:szCs w:val="32"/>
          <w:lang w:val="en-US" w:eastAsia="zh-CN"/>
        </w:rPr>
        <w:t>3</w:t>
      </w:r>
      <w:r>
        <w:rPr>
          <w:rStyle w:val="21"/>
          <w:rFonts w:hint="eastAsia" w:ascii="仿宋_GB2312" w:hAnsi="仿宋_GB2312" w:eastAsia="仿宋_GB2312" w:cs="仿宋_GB2312"/>
          <w:b w:val="0"/>
          <w:bCs/>
          <w:spacing w:val="-4"/>
          <w:sz w:val="32"/>
          <w:szCs w:val="32"/>
        </w:rPr>
        <w:t>.00 分，根据评分标准得</w:t>
      </w:r>
      <w:r>
        <w:rPr>
          <w:rStyle w:val="21"/>
          <w:rFonts w:hint="eastAsia" w:ascii="仿宋_GB2312" w:hAnsi="仿宋_GB2312" w:eastAsia="仿宋_GB2312" w:cs="仿宋_GB2312"/>
          <w:b w:val="0"/>
          <w:bCs/>
          <w:spacing w:val="-4"/>
          <w:sz w:val="32"/>
          <w:szCs w:val="32"/>
          <w:lang w:val="en-US" w:eastAsia="zh-CN"/>
        </w:rPr>
        <w:t>3</w:t>
      </w:r>
      <w:r>
        <w:rPr>
          <w:rStyle w:val="21"/>
          <w:rFonts w:hint="eastAsia" w:ascii="仿宋_GB2312" w:hAnsi="仿宋_GB2312" w:eastAsia="仿宋_GB2312" w:cs="仿宋_GB2312"/>
          <w:b w:val="0"/>
          <w:bCs/>
          <w:spacing w:val="-4"/>
          <w:sz w:val="32"/>
          <w:szCs w:val="32"/>
        </w:rPr>
        <w:t>.00 分。</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C12开展监管企业产权评估项目评审数量≥</w:t>
      </w:r>
      <w:r>
        <w:rPr>
          <w:rStyle w:val="21"/>
          <w:rFonts w:hint="eastAsia" w:ascii="仿宋_GB2312" w:hAnsi="仿宋_GB2312" w:eastAsia="仿宋_GB2312" w:cs="仿宋_GB2312"/>
          <w:b w:val="0"/>
          <w:bCs/>
          <w:spacing w:val="-4"/>
          <w:sz w:val="32"/>
          <w:szCs w:val="32"/>
          <w:lang w:val="en-US" w:eastAsia="zh-CN"/>
        </w:rPr>
        <w:t>20</w:t>
      </w:r>
      <w:r>
        <w:rPr>
          <w:rStyle w:val="21"/>
          <w:rFonts w:hint="eastAsia" w:ascii="仿宋_GB2312" w:hAnsi="仿宋_GB2312" w:eastAsia="仿宋_GB2312" w:cs="仿宋_GB2312"/>
          <w:b w:val="0"/>
          <w:bCs/>
          <w:spacing w:val="-4"/>
          <w:sz w:val="32"/>
          <w:szCs w:val="32"/>
        </w:rPr>
        <w:t>项；指标完成值2</w:t>
      </w:r>
      <w:r>
        <w:rPr>
          <w:rStyle w:val="21"/>
          <w:rFonts w:hint="eastAsia" w:ascii="仿宋_GB2312" w:hAnsi="仿宋_GB2312" w:eastAsia="仿宋_GB2312" w:cs="仿宋_GB2312"/>
          <w:b w:val="0"/>
          <w:bCs/>
          <w:spacing w:val="-4"/>
          <w:sz w:val="32"/>
          <w:szCs w:val="32"/>
          <w:lang w:val="en-US" w:eastAsia="zh-CN"/>
        </w:rPr>
        <w:t>0</w:t>
      </w:r>
      <w:r>
        <w:rPr>
          <w:rStyle w:val="21"/>
          <w:rFonts w:hint="eastAsia" w:ascii="仿宋_GB2312" w:hAnsi="仿宋_GB2312" w:eastAsia="仿宋_GB2312" w:cs="仿宋_GB2312"/>
          <w:b w:val="0"/>
          <w:bCs/>
          <w:spacing w:val="-4"/>
          <w:sz w:val="32"/>
          <w:szCs w:val="32"/>
        </w:rPr>
        <w:t>项，指标完成率100%。主要有：资产评估管理更加规范，全年评估立项2</w:t>
      </w:r>
      <w:r>
        <w:rPr>
          <w:rStyle w:val="21"/>
          <w:rFonts w:hint="eastAsia" w:ascii="仿宋_GB2312" w:hAnsi="仿宋_GB2312" w:eastAsia="仿宋_GB2312" w:cs="仿宋_GB2312"/>
          <w:b w:val="0"/>
          <w:bCs/>
          <w:spacing w:val="-4"/>
          <w:sz w:val="32"/>
          <w:szCs w:val="32"/>
          <w:lang w:val="en-US" w:eastAsia="zh-CN"/>
        </w:rPr>
        <w:t>0</w:t>
      </w:r>
      <w:r>
        <w:rPr>
          <w:rStyle w:val="21"/>
          <w:rFonts w:hint="eastAsia" w:ascii="仿宋_GB2312" w:hAnsi="仿宋_GB2312" w:eastAsia="仿宋_GB2312" w:cs="仿宋_GB2312"/>
          <w:b w:val="0"/>
          <w:bCs/>
          <w:spacing w:val="-4"/>
          <w:sz w:val="32"/>
          <w:szCs w:val="32"/>
        </w:rPr>
        <w:t>项。该指标满分为3.00 分，根据评分标准得3.00分。</w:t>
      </w:r>
    </w:p>
    <w:p>
      <w:pPr>
        <w:pStyle w:val="16"/>
        <w:keepNext w:val="0"/>
        <w:keepLines w:val="0"/>
        <w:widowControl/>
        <w:numPr>
          <w:ilvl w:val="0"/>
          <w:numId w:val="0"/>
        </w:numPr>
        <w:suppressLineNumbers w:val="0"/>
        <w:ind w:firstLine="624" w:firstLineChars="200"/>
        <w:rPr>
          <w:rStyle w:val="21"/>
          <w:rFonts w:hint="eastAsia" w:ascii="仿宋_GB2312" w:hAnsi="仿宋_GB2312" w:eastAsia="仿宋_GB2312" w:cs="仿宋_GB2312"/>
          <w:b w:val="0"/>
          <w:bCs/>
          <w:spacing w:val="-4"/>
          <w:sz w:val="32"/>
          <w:szCs w:val="32"/>
        </w:rPr>
      </w:pPr>
      <w:r>
        <w:rPr>
          <w:rStyle w:val="21"/>
          <w:rFonts w:hint="eastAsia" w:ascii="仿宋_GB2312" w:hAnsi="仿宋_GB2312" w:eastAsia="仿宋_GB2312" w:cs="仿宋_GB2312"/>
          <w:b w:val="0"/>
          <w:bCs/>
          <w:spacing w:val="-4"/>
          <w:sz w:val="32"/>
          <w:szCs w:val="32"/>
        </w:rPr>
        <w:t>C13为开展国资监管各项工作提供法律咨询服务机构数量≥2家；指标完成值</w:t>
      </w:r>
      <w:r>
        <w:rPr>
          <w:rStyle w:val="21"/>
          <w:rFonts w:hint="eastAsia" w:ascii="仿宋_GB2312" w:hAnsi="仿宋_GB2312" w:eastAsia="仿宋_GB2312" w:cs="仿宋_GB2312"/>
          <w:b w:val="0"/>
          <w:bCs/>
          <w:spacing w:val="-4"/>
          <w:sz w:val="32"/>
          <w:szCs w:val="32"/>
          <w:lang w:val="en-US" w:eastAsia="zh-CN"/>
        </w:rPr>
        <w:t>1</w:t>
      </w:r>
      <w:r>
        <w:rPr>
          <w:rStyle w:val="21"/>
          <w:rFonts w:hint="eastAsia" w:ascii="仿宋_GB2312" w:hAnsi="仿宋_GB2312" w:eastAsia="仿宋_GB2312" w:cs="仿宋_GB2312"/>
          <w:b w:val="0"/>
          <w:bCs/>
          <w:spacing w:val="-4"/>
          <w:sz w:val="32"/>
          <w:szCs w:val="32"/>
        </w:rPr>
        <w:t>家，指标完成率</w:t>
      </w:r>
      <w:r>
        <w:rPr>
          <w:rStyle w:val="21"/>
          <w:rFonts w:hint="eastAsia" w:ascii="仿宋_GB2312" w:hAnsi="仿宋_GB2312" w:eastAsia="仿宋_GB2312" w:cs="仿宋_GB2312"/>
          <w:b w:val="0"/>
          <w:bCs/>
          <w:spacing w:val="-4"/>
          <w:sz w:val="32"/>
          <w:szCs w:val="32"/>
          <w:lang w:val="en-US" w:eastAsia="zh-CN"/>
        </w:rPr>
        <w:t>50</w:t>
      </w:r>
      <w:r>
        <w:rPr>
          <w:rStyle w:val="21"/>
          <w:rFonts w:hint="eastAsia" w:ascii="仿宋_GB2312" w:hAnsi="仿宋_GB2312" w:eastAsia="仿宋_GB2312" w:cs="仿宋_GB2312"/>
          <w:b w:val="0"/>
          <w:bCs/>
          <w:spacing w:val="-4"/>
          <w:sz w:val="32"/>
          <w:szCs w:val="32"/>
        </w:rPr>
        <w:t>%。主要有：落实法律顾问制度，充分发挥专业律师作用，根据目前国资监管工作实际</w:t>
      </w:r>
      <w:r>
        <w:rPr>
          <w:rStyle w:val="21"/>
          <w:rFonts w:hint="eastAsia" w:ascii="仿宋_GB2312" w:hAnsi="仿宋_GB2312" w:eastAsia="仿宋_GB2312" w:cs="仿宋_GB2312"/>
          <w:b w:val="0"/>
          <w:bCs/>
          <w:spacing w:val="-4"/>
          <w:sz w:val="32"/>
          <w:szCs w:val="32"/>
          <w:lang w:eastAsia="zh-CN"/>
        </w:rPr>
        <w:t>，</w:t>
      </w:r>
      <w:r>
        <w:rPr>
          <w:rStyle w:val="21"/>
          <w:rFonts w:hint="eastAsia" w:ascii="仿宋_GB2312" w:hAnsi="仿宋_GB2312" w:eastAsia="仿宋_GB2312" w:cs="仿宋_GB2312"/>
          <w:b w:val="0"/>
          <w:bCs/>
          <w:spacing w:val="-4"/>
          <w:sz w:val="32"/>
          <w:szCs w:val="32"/>
        </w:rPr>
        <w:t>202</w:t>
      </w:r>
      <w:r>
        <w:rPr>
          <w:rStyle w:val="21"/>
          <w:rFonts w:hint="eastAsia" w:ascii="仿宋_GB2312" w:hAnsi="仿宋_GB2312" w:eastAsia="仿宋_GB2312" w:cs="仿宋_GB2312"/>
          <w:b w:val="0"/>
          <w:bCs/>
          <w:spacing w:val="-4"/>
          <w:sz w:val="32"/>
          <w:szCs w:val="32"/>
          <w:lang w:val="en-US" w:eastAsia="zh-CN"/>
        </w:rPr>
        <w:t>5</w:t>
      </w:r>
      <w:r>
        <w:rPr>
          <w:rStyle w:val="21"/>
          <w:rFonts w:hint="eastAsia" w:ascii="仿宋_GB2312" w:hAnsi="仿宋_GB2312" w:eastAsia="仿宋_GB2312" w:cs="仿宋_GB2312"/>
          <w:b w:val="0"/>
          <w:bCs/>
          <w:spacing w:val="-4"/>
          <w:sz w:val="32"/>
          <w:szCs w:val="32"/>
        </w:rPr>
        <w:t>年</w:t>
      </w:r>
      <w:r>
        <w:rPr>
          <w:rStyle w:val="21"/>
          <w:rFonts w:hint="eastAsia" w:ascii="仿宋_GB2312" w:hAnsi="仿宋_GB2312" w:eastAsia="仿宋_GB2312" w:cs="仿宋_GB2312"/>
          <w:b w:val="0"/>
          <w:bCs/>
          <w:spacing w:val="-4"/>
          <w:sz w:val="32"/>
          <w:szCs w:val="32"/>
          <w:lang w:eastAsia="zh-CN"/>
        </w:rPr>
        <w:t>只</w:t>
      </w:r>
      <w:r>
        <w:rPr>
          <w:rStyle w:val="21"/>
          <w:rFonts w:hint="eastAsia" w:ascii="仿宋_GB2312" w:hAnsi="仿宋_GB2312" w:eastAsia="仿宋_GB2312" w:cs="仿宋_GB2312"/>
          <w:b w:val="0"/>
          <w:bCs/>
          <w:spacing w:val="-4"/>
          <w:sz w:val="32"/>
          <w:szCs w:val="32"/>
        </w:rPr>
        <w:t>聘请的</w:t>
      </w:r>
      <w:r>
        <w:rPr>
          <w:rStyle w:val="21"/>
          <w:rFonts w:hint="eastAsia" w:ascii="仿宋_GB2312" w:hAnsi="仿宋_GB2312" w:eastAsia="仿宋_GB2312" w:cs="仿宋_GB2312"/>
          <w:b w:val="0"/>
          <w:bCs/>
          <w:spacing w:val="-4"/>
          <w:sz w:val="32"/>
          <w:szCs w:val="32"/>
          <w:lang w:val="en-US" w:eastAsia="zh-CN"/>
        </w:rPr>
        <w:t>1</w:t>
      </w:r>
      <w:r>
        <w:rPr>
          <w:rStyle w:val="21"/>
          <w:rFonts w:hint="eastAsia" w:ascii="仿宋_GB2312" w:hAnsi="仿宋_GB2312" w:eastAsia="仿宋_GB2312" w:cs="仿宋_GB2312"/>
          <w:b w:val="0"/>
          <w:bCs/>
          <w:spacing w:val="-4"/>
          <w:sz w:val="32"/>
          <w:szCs w:val="32"/>
        </w:rPr>
        <w:t>家法律顾问律所</w:t>
      </w:r>
      <w:r>
        <w:rPr>
          <w:rStyle w:val="21"/>
          <w:rFonts w:hint="eastAsia" w:ascii="仿宋_GB2312" w:hAnsi="仿宋_GB2312" w:eastAsia="仿宋_GB2312" w:cs="仿宋_GB2312"/>
          <w:b w:val="0"/>
          <w:bCs/>
          <w:spacing w:val="-4"/>
          <w:sz w:val="32"/>
          <w:szCs w:val="32"/>
          <w:lang w:eastAsia="zh-CN"/>
        </w:rPr>
        <w:t>，</w:t>
      </w:r>
      <w:r>
        <w:rPr>
          <w:rStyle w:val="21"/>
          <w:rFonts w:hint="eastAsia" w:ascii="仿宋_GB2312" w:hAnsi="仿宋_GB2312" w:eastAsia="仿宋_GB2312" w:cs="仿宋_GB2312"/>
          <w:b w:val="0"/>
          <w:bCs/>
          <w:spacing w:val="-4"/>
          <w:sz w:val="32"/>
          <w:szCs w:val="32"/>
        </w:rPr>
        <w:t>有效</w:t>
      </w:r>
      <w:r>
        <w:rPr>
          <w:rStyle w:val="21"/>
          <w:rFonts w:hint="eastAsia" w:ascii="仿宋_GB2312" w:hAnsi="仿宋_GB2312" w:eastAsia="仿宋_GB2312" w:cs="仿宋_GB2312"/>
          <w:b w:val="0"/>
          <w:bCs/>
          <w:spacing w:val="-4"/>
          <w:sz w:val="32"/>
          <w:szCs w:val="32"/>
          <w:lang w:eastAsia="zh-CN"/>
        </w:rPr>
        <w:t>降低运行成本，</w:t>
      </w:r>
      <w:r>
        <w:rPr>
          <w:rStyle w:val="21"/>
          <w:rFonts w:hint="eastAsia" w:ascii="仿宋_GB2312" w:hAnsi="仿宋_GB2312" w:eastAsia="仿宋_GB2312" w:cs="仿宋_GB2312"/>
          <w:b w:val="0"/>
          <w:bCs/>
          <w:spacing w:val="-4"/>
          <w:sz w:val="32"/>
          <w:szCs w:val="32"/>
        </w:rPr>
        <w:t>依法</w:t>
      </w:r>
      <w:r>
        <w:rPr>
          <w:rStyle w:val="21"/>
          <w:rFonts w:hint="eastAsia" w:ascii="仿宋_GB2312" w:hAnsi="仿宋_GB2312" w:eastAsia="仿宋_GB2312" w:cs="仿宋_GB2312"/>
          <w:b w:val="0"/>
          <w:bCs/>
          <w:spacing w:val="-4"/>
          <w:sz w:val="32"/>
          <w:szCs w:val="32"/>
          <w:lang w:eastAsia="zh-CN"/>
        </w:rPr>
        <w:t>开展</w:t>
      </w:r>
      <w:r>
        <w:rPr>
          <w:rStyle w:val="21"/>
          <w:rFonts w:hint="eastAsia" w:ascii="仿宋_GB2312" w:hAnsi="仿宋_GB2312" w:eastAsia="仿宋_GB2312" w:cs="仿宋_GB2312"/>
          <w:b w:val="0"/>
          <w:bCs/>
          <w:spacing w:val="-4"/>
          <w:sz w:val="32"/>
          <w:szCs w:val="32"/>
        </w:rPr>
        <w:t>监管、推进法治国资建设。该指标满分为3.00 分，根据评分标准得</w:t>
      </w:r>
      <w:r>
        <w:rPr>
          <w:rStyle w:val="21"/>
          <w:rFonts w:hint="eastAsia" w:ascii="仿宋_GB2312" w:hAnsi="仿宋_GB2312" w:eastAsia="仿宋_GB2312" w:cs="仿宋_GB2312"/>
          <w:b w:val="0"/>
          <w:bCs/>
          <w:spacing w:val="-4"/>
          <w:sz w:val="32"/>
          <w:szCs w:val="32"/>
          <w:lang w:val="en-US" w:eastAsia="zh-CN"/>
        </w:rPr>
        <w:t>0</w:t>
      </w:r>
      <w:r>
        <w:rPr>
          <w:rStyle w:val="21"/>
          <w:rFonts w:hint="eastAsia" w:ascii="仿宋_GB2312" w:hAnsi="仿宋_GB2312" w:eastAsia="仿宋_GB2312" w:cs="仿宋_GB2312"/>
          <w:b w:val="0"/>
          <w:bCs/>
          <w:spacing w:val="-4"/>
          <w:sz w:val="32"/>
          <w:szCs w:val="32"/>
        </w:rPr>
        <w:t>分。</w:t>
      </w:r>
    </w:p>
    <w:p>
      <w:pPr>
        <w:pStyle w:val="16"/>
        <w:keepNext w:val="0"/>
        <w:keepLines w:val="0"/>
        <w:widowControl/>
        <w:numPr>
          <w:ilvl w:val="0"/>
          <w:numId w:val="0"/>
        </w:numPr>
        <w:suppressLineNumbers w:val="0"/>
        <w:ind w:firstLine="624" w:firstLineChars="200"/>
        <w:rPr>
          <w:rStyle w:val="21"/>
          <w:rFonts w:hint="eastAsia" w:ascii="仿宋_GB2312" w:hAnsi="仿宋_GB2312" w:eastAsia="仿宋_GB2312" w:cs="仿宋_GB2312"/>
          <w:b w:val="0"/>
          <w:bCs/>
          <w:spacing w:val="-4"/>
          <w:sz w:val="32"/>
          <w:szCs w:val="32"/>
        </w:rPr>
      </w:pPr>
      <w:r>
        <w:rPr>
          <w:rStyle w:val="21"/>
          <w:rFonts w:hint="eastAsia" w:ascii="仿宋_GB2312" w:hAnsi="仿宋_GB2312" w:eastAsia="仿宋_GB2312" w:cs="仿宋_GB2312"/>
          <w:b w:val="0"/>
          <w:bCs/>
          <w:spacing w:val="-4"/>
          <w:sz w:val="32"/>
          <w:szCs w:val="32"/>
        </w:rPr>
        <w:t>C14委托专业机构开展防风险专项审计和财务监督检查企业数≥</w:t>
      </w:r>
      <w:r>
        <w:rPr>
          <w:rStyle w:val="21"/>
          <w:rFonts w:hint="eastAsia" w:ascii="仿宋_GB2312" w:hAnsi="仿宋_GB2312" w:eastAsia="仿宋_GB2312" w:cs="仿宋_GB2312"/>
          <w:b w:val="0"/>
          <w:bCs/>
          <w:spacing w:val="-4"/>
          <w:sz w:val="32"/>
          <w:szCs w:val="32"/>
          <w:lang w:val="en-US" w:eastAsia="zh-CN"/>
        </w:rPr>
        <w:t>5家，指标完成值18家，指标完成率100%。</w:t>
      </w:r>
      <w:r>
        <w:rPr>
          <w:rStyle w:val="21"/>
          <w:rFonts w:hint="eastAsia" w:ascii="仿宋_GB2312" w:hAnsi="仿宋_GB2312" w:eastAsia="仿宋_GB2312" w:cs="仿宋_GB2312"/>
          <w:b w:val="0"/>
          <w:bCs/>
          <w:spacing w:val="-4"/>
          <w:sz w:val="32"/>
          <w:szCs w:val="32"/>
        </w:rPr>
        <w:t>该指标满分为3.00 分，根据评分标准得3.00分。</w:t>
      </w:r>
      <w:r>
        <w:rPr>
          <w:rStyle w:val="21"/>
          <w:rFonts w:hint="eastAsia" w:ascii="仿宋_GB2312" w:hAnsi="仿宋_GB2312" w:eastAsia="仿宋_GB2312" w:cs="仿宋_GB2312"/>
          <w:b w:val="0"/>
          <w:bCs/>
          <w:spacing w:val="-4"/>
          <w:sz w:val="32"/>
          <w:szCs w:val="32"/>
        </w:rPr>
        <w:cr/>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C1</w:t>
      </w:r>
      <w:r>
        <w:rPr>
          <w:rStyle w:val="21"/>
          <w:rFonts w:hint="eastAsia" w:ascii="仿宋_GB2312" w:hAnsi="仿宋_GB2312" w:eastAsia="仿宋_GB2312" w:cs="仿宋_GB2312"/>
          <w:b w:val="0"/>
          <w:bCs/>
          <w:spacing w:val="-4"/>
          <w:sz w:val="32"/>
          <w:szCs w:val="32"/>
          <w:lang w:val="en-US" w:eastAsia="zh-CN"/>
        </w:rPr>
        <w:t>5</w:t>
      </w:r>
      <w:r>
        <w:rPr>
          <w:rStyle w:val="21"/>
          <w:rFonts w:hint="eastAsia" w:ascii="仿宋_GB2312" w:hAnsi="仿宋_GB2312" w:eastAsia="仿宋_GB2312" w:cs="仿宋_GB2312"/>
          <w:b w:val="0"/>
          <w:bCs/>
          <w:spacing w:val="-4"/>
          <w:sz w:val="32"/>
          <w:szCs w:val="32"/>
        </w:rPr>
        <w:t>根据职责要求开展各类业务培训数量≥</w:t>
      </w:r>
      <w:r>
        <w:rPr>
          <w:rStyle w:val="21"/>
          <w:rFonts w:hint="eastAsia" w:ascii="仿宋_GB2312" w:hAnsi="仿宋_GB2312" w:eastAsia="仿宋_GB2312" w:cs="仿宋_GB2312"/>
          <w:b w:val="0"/>
          <w:bCs/>
          <w:spacing w:val="-4"/>
          <w:sz w:val="32"/>
          <w:szCs w:val="32"/>
          <w:lang w:val="en-US" w:eastAsia="zh-CN"/>
        </w:rPr>
        <w:t>5</w:t>
      </w:r>
      <w:r>
        <w:rPr>
          <w:rStyle w:val="21"/>
          <w:rFonts w:hint="eastAsia" w:ascii="仿宋_GB2312" w:hAnsi="仿宋_GB2312" w:eastAsia="仿宋_GB2312" w:cs="仿宋_GB2312"/>
          <w:b w:val="0"/>
          <w:bCs/>
          <w:spacing w:val="-4"/>
          <w:sz w:val="32"/>
          <w:szCs w:val="32"/>
        </w:rPr>
        <w:t>次；指标完成值5次，指标完成率100%。主要有：</w:t>
      </w:r>
      <w:r>
        <w:rPr>
          <w:rStyle w:val="21"/>
          <w:rFonts w:hint="eastAsia" w:ascii="仿宋_GB2312" w:hAnsi="仿宋_GB2312" w:eastAsia="仿宋_GB2312" w:cs="仿宋_GB2312"/>
          <w:b w:val="0"/>
          <w:bCs/>
          <w:spacing w:val="-4"/>
          <w:sz w:val="32"/>
          <w:szCs w:val="32"/>
          <w:lang w:eastAsia="zh-CN"/>
        </w:rPr>
        <w:t>国有企业财务管理和内部控制专题培训、国有企业改革和考核分配专题培训、国有企业产权管理业务培训、国有企业外部董事能力提升业务培训等</w:t>
      </w:r>
      <w:r>
        <w:rPr>
          <w:rStyle w:val="21"/>
          <w:rFonts w:hint="eastAsia" w:ascii="仿宋_GB2312" w:hAnsi="仿宋_GB2312" w:eastAsia="仿宋_GB2312" w:cs="仿宋_GB2312"/>
          <w:b w:val="0"/>
          <w:bCs/>
          <w:spacing w:val="-4"/>
          <w:sz w:val="32"/>
          <w:szCs w:val="32"/>
        </w:rPr>
        <w:t>。该指标满分为</w:t>
      </w:r>
      <w:r>
        <w:rPr>
          <w:rStyle w:val="21"/>
          <w:rFonts w:hint="eastAsia" w:ascii="仿宋_GB2312" w:hAnsi="仿宋_GB2312" w:eastAsia="仿宋_GB2312" w:cs="仿宋_GB2312"/>
          <w:b w:val="0"/>
          <w:bCs/>
          <w:spacing w:val="-4"/>
          <w:sz w:val="32"/>
          <w:szCs w:val="32"/>
          <w:lang w:val="en-US" w:eastAsia="zh-CN"/>
        </w:rPr>
        <w:t>3</w:t>
      </w:r>
      <w:r>
        <w:rPr>
          <w:rStyle w:val="21"/>
          <w:rFonts w:hint="eastAsia" w:ascii="仿宋_GB2312" w:hAnsi="仿宋_GB2312" w:eastAsia="仿宋_GB2312" w:cs="仿宋_GB2312"/>
          <w:b w:val="0"/>
          <w:bCs/>
          <w:spacing w:val="-4"/>
          <w:sz w:val="32"/>
          <w:szCs w:val="32"/>
        </w:rPr>
        <w:t>.00 分，根据评分标准得</w:t>
      </w:r>
      <w:r>
        <w:rPr>
          <w:rStyle w:val="21"/>
          <w:rFonts w:hint="eastAsia" w:ascii="仿宋_GB2312" w:hAnsi="仿宋_GB2312" w:eastAsia="仿宋_GB2312" w:cs="仿宋_GB2312"/>
          <w:b w:val="0"/>
          <w:bCs/>
          <w:spacing w:val="-4"/>
          <w:sz w:val="32"/>
          <w:szCs w:val="32"/>
          <w:lang w:val="en-US" w:eastAsia="zh-CN"/>
        </w:rPr>
        <w:t>3</w:t>
      </w:r>
      <w:r>
        <w:rPr>
          <w:rStyle w:val="21"/>
          <w:rFonts w:hint="eastAsia" w:ascii="仿宋_GB2312" w:hAnsi="仿宋_GB2312" w:eastAsia="仿宋_GB2312" w:cs="仿宋_GB2312"/>
          <w:b w:val="0"/>
          <w:bCs/>
          <w:spacing w:val="-4"/>
          <w:sz w:val="32"/>
          <w:szCs w:val="32"/>
        </w:rPr>
        <w:t>.00 分。</w:t>
      </w:r>
    </w:p>
    <w:p>
      <w:pPr>
        <w:pStyle w:val="16"/>
        <w:keepNext w:val="0"/>
        <w:keepLines w:val="0"/>
        <w:widowControl/>
        <w:numPr>
          <w:ilvl w:val="0"/>
          <w:numId w:val="0"/>
        </w:numPr>
        <w:suppressLineNumbers w:val="0"/>
        <w:ind w:firstLine="624" w:firstLineChars="200"/>
        <w:rPr>
          <w:rStyle w:val="21"/>
          <w:rFonts w:hint="eastAsia" w:ascii="仿宋_GB2312" w:hAnsi="仿宋_GB2312" w:eastAsia="仿宋_GB2312" w:cs="仿宋_GB2312"/>
          <w:b w:val="0"/>
          <w:bCs/>
          <w:spacing w:val="-4"/>
          <w:sz w:val="32"/>
          <w:szCs w:val="32"/>
          <w:lang w:val="en-US" w:eastAsia="zh-CN"/>
        </w:rPr>
      </w:pPr>
      <w:r>
        <w:rPr>
          <w:rStyle w:val="21"/>
          <w:rFonts w:hint="eastAsia" w:ascii="仿宋_GB2312" w:hAnsi="仿宋_GB2312" w:eastAsia="仿宋_GB2312" w:cs="仿宋_GB2312"/>
          <w:b w:val="0"/>
          <w:bCs/>
          <w:spacing w:val="-4"/>
          <w:sz w:val="32"/>
          <w:szCs w:val="32"/>
          <w:lang w:val="en-US" w:eastAsia="zh-CN"/>
        </w:rPr>
        <w:t>C16</w:t>
      </w:r>
      <w:r>
        <w:rPr>
          <w:rStyle w:val="21"/>
          <w:rFonts w:hint="eastAsia" w:ascii="仿宋_GB2312" w:hAnsi="仿宋_GB2312" w:eastAsia="仿宋_GB2312" w:cs="仿宋_GB2312"/>
          <w:b w:val="0"/>
          <w:bCs/>
          <w:spacing w:val="-4"/>
          <w:sz w:val="32"/>
          <w:szCs w:val="32"/>
        </w:rPr>
        <w:t>编制《自治区国资委出资企业“十五五”发展规划纲要》≥</w:t>
      </w:r>
      <w:r>
        <w:rPr>
          <w:rStyle w:val="21"/>
          <w:rFonts w:hint="eastAsia" w:ascii="仿宋_GB2312" w:hAnsi="仿宋_GB2312" w:eastAsia="仿宋_GB2312" w:cs="仿宋_GB2312"/>
          <w:b w:val="0"/>
          <w:bCs/>
          <w:spacing w:val="-4"/>
          <w:sz w:val="32"/>
          <w:szCs w:val="32"/>
          <w:lang w:val="en-US" w:eastAsia="zh-CN"/>
        </w:rPr>
        <w:t>60%，指标完成值70%，指标完成率100%。</w:t>
      </w:r>
      <w:r>
        <w:rPr>
          <w:rStyle w:val="21"/>
          <w:rFonts w:hint="eastAsia" w:ascii="仿宋_GB2312" w:hAnsi="仿宋_GB2312" w:eastAsia="仿宋_GB2312" w:cs="仿宋_GB2312"/>
          <w:b w:val="0"/>
          <w:bCs/>
          <w:spacing w:val="-4"/>
          <w:sz w:val="32"/>
          <w:szCs w:val="32"/>
        </w:rPr>
        <w:t>该指标满分为3.00 分，根据评分标准得3.00分</w:t>
      </w:r>
      <w:r>
        <w:rPr>
          <w:rStyle w:val="21"/>
          <w:rFonts w:hint="eastAsia" w:ascii="仿宋_GB2312" w:hAnsi="仿宋_GB2312" w:eastAsia="仿宋_GB2312" w:cs="仿宋_GB2312"/>
          <w:b w:val="0"/>
          <w:bCs/>
          <w:spacing w:val="-4"/>
          <w:sz w:val="32"/>
          <w:szCs w:val="32"/>
          <w:lang w:val="en-US" w:eastAsia="zh-CN"/>
        </w:rPr>
        <w:t>。</w:t>
      </w:r>
    </w:p>
    <w:p>
      <w:pPr>
        <w:pStyle w:val="16"/>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0" w:leftChars="0" w:right="0" w:rightChars="0" w:firstLine="626" w:firstLineChars="200"/>
        <w:textAlignment w:val="auto"/>
        <w:rPr>
          <w:rStyle w:val="21"/>
          <w:rFonts w:hint="eastAsia" w:ascii="仿宋_GB2312" w:hAnsi="仿宋_GB2312" w:eastAsia="仿宋_GB2312" w:cs="仿宋_GB2312"/>
          <w:b w:val="0"/>
          <w:bCs/>
          <w:spacing w:val="-4"/>
          <w:sz w:val="32"/>
          <w:szCs w:val="32"/>
        </w:rPr>
      </w:pPr>
      <w:r>
        <w:rPr>
          <w:rStyle w:val="21"/>
          <w:rFonts w:hint="eastAsia" w:ascii="仿宋_GB2312" w:hAnsi="仿宋_GB2312" w:eastAsia="仿宋_GB2312" w:cs="仿宋_GB2312"/>
          <w:b/>
          <w:bCs w:val="0"/>
          <w:spacing w:val="-4"/>
          <w:sz w:val="32"/>
          <w:szCs w:val="32"/>
        </w:rPr>
        <w:t>2.产出质量</w:t>
      </w:r>
      <w:r>
        <w:rPr>
          <w:rStyle w:val="21"/>
          <w:rFonts w:hint="eastAsia" w:ascii="仿宋_GB2312" w:hAnsi="仿宋_GB2312" w:eastAsia="仿宋_GB2312" w:cs="仿宋_GB2312"/>
          <w:b/>
          <w:bCs w:val="0"/>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C21资产评估项目评审报告结果应用率≥95%；指标完成值100%，指标完成率100%。该指标满分为3.00 分，根据评分标准得3.00分。</w:t>
      </w:r>
      <w:r>
        <w:rPr>
          <w:rStyle w:val="21"/>
          <w:rFonts w:hint="eastAsia" w:ascii="仿宋_GB2312" w:hAnsi="仿宋_GB2312" w:eastAsia="仿宋_GB2312" w:cs="仿宋_GB2312"/>
          <w:b w:val="0"/>
          <w:bCs/>
          <w:spacing w:val="-4"/>
          <w:sz w:val="32"/>
          <w:szCs w:val="32"/>
        </w:rPr>
        <w:cr/>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C22对出资企业监督检查抽检履盖率≥9</w:t>
      </w:r>
      <w:r>
        <w:rPr>
          <w:rStyle w:val="21"/>
          <w:rFonts w:hint="eastAsia" w:ascii="仿宋_GB2312" w:hAnsi="仿宋_GB2312" w:eastAsia="仿宋_GB2312" w:cs="仿宋_GB2312"/>
          <w:b w:val="0"/>
          <w:bCs/>
          <w:spacing w:val="-4"/>
          <w:sz w:val="32"/>
          <w:szCs w:val="32"/>
          <w:lang w:val="en-US" w:eastAsia="zh-CN"/>
        </w:rPr>
        <w:t>0</w:t>
      </w:r>
      <w:r>
        <w:rPr>
          <w:rStyle w:val="21"/>
          <w:rFonts w:hint="eastAsia" w:ascii="仿宋_GB2312" w:hAnsi="仿宋_GB2312" w:eastAsia="仿宋_GB2312" w:cs="仿宋_GB2312"/>
          <w:b w:val="0"/>
          <w:bCs/>
          <w:spacing w:val="-4"/>
          <w:sz w:val="32"/>
          <w:szCs w:val="32"/>
        </w:rPr>
        <w:t>%；指标完成值100%，指标完成率100%。该指标满分为3.00 分，根据评分标准得3.00分。</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bCs w:val="0"/>
          <w:spacing w:val="-4"/>
          <w:sz w:val="32"/>
          <w:szCs w:val="32"/>
          <w:lang w:val="en-US" w:eastAsia="zh-CN"/>
        </w:rPr>
        <w:t xml:space="preserve">    </w:t>
      </w:r>
      <w:r>
        <w:rPr>
          <w:rStyle w:val="21"/>
          <w:rFonts w:hint="eastAsia" w:ascii="仿宋_GB2312" w:hAnsi="仿宋_GB2312" w:eastAsia="仿宋_GB2312" w:cs="仿宋_GB2312"/>
          <w:b/>
          <w:bCs w:val="0"/>
          <w:spacing w:val="-4"/>
          <w:sz w:val="32"/>
          <w:szCs w:val="32"/>
        </w:rPr>
        <w:t>3.产出时效</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C31各类督导检查审计工作按期完成率≥95%；指标完成值100%，指标完成率100%。该指标满分为3.00 分，根据评分标准得3.00分。</w:t>
      </w:r>
      <w:r>
        <w:rPr>
          <w:rStyle w:val="21"/>
          <w:rFonts w:hint="eastAsia" w:ascii="仿宋_GB2312" w:hAnsi="仿宋_GB2312" w:eastAsia="仿宋_GB2312" w:cs="仿宋_GB2312"/>
          <w:b w:val="0"/>
          <w:bCs/>
          <w:spacing w:val="-4"/>
          <w:sz w:val="32"/>
          <w:szCs w:val="32"/>
        </w:rPr>
        <w:cr/>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C32各类业务培训按期完成率≥95%；指标完成值100%，指标完成率100%。该指标满分为3.00 分，根据评分标准得3.00分。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4" w:firstLineChars="181"/>
        <w:textAlignment w:val="auto"/>
        <w:outlineLvl w:val="9"/>
        <w:rPr>
          <w:rFonts w:hint="eastAsia" w:ascii="楷体_GB2312" w:hAnsi="楷体_GB2312" w:eastAsia="楷体_GB2312" w:cs="楷体_GB2312"/>
          <w:b w:val="0"/>
          <w:bCs/>
          <w:spacing w:val="-4"/>
          <w:sz w:val="32"/>
          <w:szCs w:val="32"/>
        </w:rPr>
      </w:pPr>
      <w:r>
        <w:rPr>
          <w:rFonts w:hint="eastAsia" w:ascii="楷体_GB2312" w:hAnsi="楷体_GB2312" w:eastAsia="楷体_GB2312" w:cs="楷体_GB2312"/>
          <w:b w:val="0"/>
          <w:bCs/>
          <w:spacing w:val="-4"/>
          <w:sz w:val="32"/>
          <w:szCs w:val="32"/>
        </w:rPr>
        <w:t>（四）项目效益情况。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7"/>
        <w:textAlignment w:val="auto"/>
        <w:outlineLvl w:val="9"/>
        <w:rPr>
          <w:rStyle w:val="21"/>
          <w:rFonts w:hint="eastAsia" w:ascii="仿宋_GB2312" w:hAnsi="仿宋_GB2312" w:eastAsia="仿宋_GB2312" w:cs="仿宋_GB2312"/>
          <w:b w:val="0"/>
          <w:bCs/>
          <w:spacing w:val="-4"/>
          <w:sz w:val="32"/>
          <w:szCs w:val="32"/>
        </w:rPr>
      </w:pPr>
      <w:r>
        <w:rPr>
          <w:rStyle w:val="21"/>
          <w:rFonts w:hint="eastAsia" w:ascii="仿宋_GB2312" w:hAnsi="仿宋_GB2312" w:eastAsia="仿宋_GB2312" w:cs="仿宋_GB2312"/>
          <w:b w:val="0"/>
          <w:bCs/>
          <w:spacing w:val="-4"/>
          <w:sz w:val="32"/>
          <w:szCs w:val="32"/>
        </w:rPr>
        <w:t>项目效益指标由</w:t>
      </w:r>
      <w:r>
        <w:rPr>
          <w:rStyle w:val="21"/>
          <w:rFonts w:hint="eastAsia" w:ascii="仿宋_GB2312" w:hAnsi="仿宋_GB2312" w:eastAsia="仿宋_GB2312" w:cs="仿宋_GB2312"/>
          <w:b w:val="0"/>
          <w:bCs/>
          <w:spacing w:val="-4"/>
          <w:sz w:val="32"/>
          <w:szCs w:val="32"/>
          <w:lang w:val="en-US" w:eastAsia="zh-CN"/>
        </w:rPr>
        <w:t>2</w:t>
      </w:r>
      <w:r>
        <w:rPr>
          <w:rStyle w:val="21"/>
          <w:rFonts w:hint="eastAsia" w:ascii="仿宋_GB2312" w:hAnsi="仿宋_GB2312" w:eastAsia="仿宋_GB2312" w:cs="仿宋_GB2312"/>
          <w:b w:val="0"/>
          <w:bCs/>
          <w:spacing w:val="-4"/>
          <w:sz w:val="32"/>
          <w:szCs w:val="32"/>
        </w:rPr>
        <w:t>个二级和</w:t>
      </w:r>
      <w:r>
        <w:rPr>
          <w:rStyle w:val="21"/>
          <w:rFonts w:hint="eastAsia" w:ascii="仿宋_GB2312" w:hAnsi="仿宋_GB2312" w:eastAsia="仿宋_GB2312" w:cs="仿宋_GB2312"/>
          <w:b w:val="0"/>
          <w:bCs/>
          <w:spacing w:val="-4"/>
          <w:sz w:val="32"/>
          <w:szCs w:val="32"/>
          <w:lang w:val="en-US" w:eastAsia="zh-CN"/>
        </w:rPr>
        <w:t>2</w:t>
      </w:r>
      <w:r>
        <w:rPr>
          <w:rStyle w:val="21"/>
          <w:rFonts w:hint="eastAsia" w:ascii="仿宋_GB2312" w:hAnsi="仿宋_GB2312" w:eastAsia="仿宋_GB2312" w:cs="仿宋_GB2312"/>
          <w:b w:val="0"/>
          <w:bCs/>
          <w:spacing w:val="-4"/>
          <w:sz w:val="32"/>
          <w:szCs w:val="32"/>
        </w:rPr>
        <w:t>个三级指标构成，权重分值35.00分，实际得分35.00分。各指标业绩值和绩效分值见</w:t>
      </w:r>
      <w:r>
        <w:rPr>
          <w:rStyle w:val="21"/>
          <w:rFonts w:hint="eastAsia" w:ascii="仿宋_GB2312" w:hAnsi="仿宋_GB2312" w:eastAsia="仿宋_GB2312" w:cs="仿宋_GB2312"/>
          <w:b w:val="0"/>
          <w:bCs/>
          <w:spacing w:val="-4"/>
          <w:sz w:val="32"/>
          <w:szCs w:val="32"/>
          <w:lang w:eastAsia="zh-CN"/>
        </w:rPr>
        <w:t>下</w:t>
      </w:r>
      <w:r>
        <w:rPr>
          <w:rStyle w:val="21"/>
          <w:rFonts w:hint="eastAsia" w:ascii="仿宋_GB2312" w:hAnsi="仿宋_GB2312" w:eastAsia="仿宋_GB2312" w:cs="仿宋_GB2312"/>
          <w:b w:val="0"/>
          <w:bCs/>
          <w:spacing w:val="-4"/>
          <w:sz w:val="32"/>
          <w:szCs w:val="32"/>
        </w:rPr>
        <w:t>表</w:t>
      </w:r>
      <w:r>
        <w:rPr>
          <w:rStyle w:val="21"/>
          <w:rFonts w:hint="eastAsia" w:ascii="仿宋_GB2312" w:hAnsi="仿宋_GB2312" w:eastAsia="仿宋_GB2312" w:cs="仿宋_GB2312"/>
          <w:b w:val="0"/>
          <w:bCs/>
          <w:spacing w:val="-4"/>
          <w:sz w:val="32"/>
          <w:szCs w:val="32"/>
          <w:lang w:eastAsia="zh-CN"/>
        </w:rPr>
        <w:t>：</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rPr>
        <w:t>表5：项目效益指标及分值</w:t>
      </w:r>
    </w:p>
    <w:tbl>
      <w:tblPr>
        <w:tblStyle w:val="19"/>
        <w:tblpPr w:leftFromText="180" w:rightFromText="180" w:vertAnchor="text" w:horzAnchor="page" w:tblpXSpec="center" w:tblpY="544"/>
        <w:tblOverlap w:val="never"/>
        <w:tblW w:w="86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0"/>
        <w:gridCol w:w="1598"/>
        <w:gridCol w:w="1520"/>
        <w:gridCol w:w="1210"/>
        <w:gridCol w:w="1216"/>
        <w:gridCol w:w="970"/>
        <w:gridCol w:w="9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210"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一级指标</w:t>
            </w:r>
          </w:p>
        </w:tc>
        <w:tc>
          <w:tcPr>
            <w:tcW w:w="1598"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二级指标</w:t>
            </w:r>
          </w:p>
        </w:tc>
        <w:tc>
          <w:tcPr>
            <w:tcW w:w="1520"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三级指标</w:t>
            </w:r>
          </w:p>
        </w:tc>
        <w:tc>
          <w:tcPr>
            <w:tcW w:w="1210"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目标值</w:t>
            </w:r>
          </w:p>
        </w:tc>
        <w:tc>
          <w:tcPr>
            <w:tcW w:w="1216"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实际完成值</w:t>
            </w:r>
          </w:p>
        </w:tc>
        <w:tc>
          <w:tcPr>
            <w:tcW w:w="970"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权重</w:t>
            </w:r>
          </w:p>
        </w:tc>
        <w:tc>
          <w:tcPr>
            <w:tcW w:w="960"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ascii="仿宋_GB2312" w:hAnsi="仿宋_GB2312" w:eastAsia="仿宋_GB2312" w:cs="仿宋_GB2312"/>
                <w:b/>
                <w:sz w:val="24"/>
                <w:szCs w:val="24"/>
              </w:rPr>
            </w:pPr>
            <w:r>
              <w:rPr>
                <w:rFonts w:hint="eastAsia" w:ascii="仿宋_GB2312" w:hAnsi="仿宋_GB2312" w:eastAsia="仿宋_GB2312" w:cs="仿宋_GB2312"/>
                <w:b/>
                <w:kern w:val="0"/>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0" w:hRule="atLeast"/>
          <w:jc w:val="center"/>
        </w:trPr>
        <w:tc>
          <w:tcPr>
            <w:tcW w:w="1210" w:type="dxa"/>
            <w:vMerge w:val="restart"/>
            <w:vAlign w:val="center"/>
          </w:tcPr>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D效益</w:t>
            </w:r>
          </w:p>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（35分）</w:t>
            </w:r>
          </w:p>
        </w:tc>
        <w:tc>
          <w:tcPr>
            <w:tcW w:w="1598"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D1经济效益（15.00分）</w:t>
            </w:r>
          </w:p>
        </w:tc>
        <w:tc>
          <w:tcPr>
            <w:tcW w:w="1520"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D11</w:t>
            </w:r>
            <w:r>
              <w:rPr>
                <w:rFonts w:hint="eastAsia" w:ascii="仿宋_GB2312" w:hAnsi="仿宋_GB2312" w:eastAsia="仿宋_GB2312" w:cs="仿宋_GB2312"/>
                <w:kern w:val="0"/>
                <w:sz w:val="24"/>
                <w:szCs w:val="24"/>
                <w:lang w:val="en-US" w:eastAsia="zh-CN"/>
              </w:rPr>
              <w:t>监管企业净资产收益率</w:t>
            </w:r>
          </w:p>
        </w:tc>
        <w:tc>
          <w:tcPr>
            <w:tcW w:w="1210"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0.5</w:t>
            </w:r>
            <w:r>
              <w:rPr>
                <w:rFonts w:hint="eastAsia" w:ascii="仿宋_GB2312" w:hAnsi="仿宋_GB2312" w:eastAsia="仿宋_GB2312" w:cs="仿宋_GB2312"/>
                <w:sz w:val="24"/>
                <w:szCs w:val="24"/>
              </w:rPr>
              <w:t>%</w:t>
            </w:r>
          </w:p>
        </w:tc>
        <w:tc>
          <w:tcPr>
            <w:tcW w:w="1216"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lang w:val="en-US" w:eastAsia="zh-CN"/>
              </w:rPr>
              <w:t>0.</w:t>
            </w:r>
            <w:r>
              <w:rPr>
                <w:rFonts w:hint="eastAsia" w:ascii="仿宋_GB2312" w:hAnsi="仿宋_GB2312" w:cs="仿宋_GB2312"/>
                <w:sz w:val="24"/>
                <w:szCs w:val="24"/>
                <w:lang w:val="en-US" w:eastAsia="zh-CN"/>
              </w:rPr>
              <w:t>70</w:t>
            </w:r>
            <w:r>
              <w:rPr>
                <w:rFonts w:hint="eastAsia" w:ascii="仿宋_GB2312" w:hAnsi="仿宋_GB2312" w:eastAsia="仿宋_GB2312" w:cs="仿宋_GB2312"/>
                <w:sz w:val="24"/>
                <w:szCs w:val="24"/>
              </w:rPr>
              <w:t>%</w:t>
            </w:r>
          </w:p>
        </w:tc>
        <w:tc>
          <w:tcPr>
            <w:tcW w:w="970"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lang w:val="en-US" w:eastAsia="zh-CN"/>
              </w:rPr>
              <w:t>20</w:t>
            </w:r>
            <w:r>
              <w:rPr>
                <w:rFonts w:hint="eastAsia" w:ascii="仿宋_GB2312" w:hAnsi="仿宋_GB2312" w:eastAsia="仿宋_GB2312" w:cs="仿宋_GB2312"/>
                <w:sz w:val="24"/>
                <w:szCs w:val="24"/>
              </w:rPr>
              <w:t>.00</w:t>
            </w:r>
          </w:p>
        </w:tc>
        <w:tc>
          <w:tcPr>
            <w:tcW w:w="960"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10" w:type="dxa"/>
            <w:vMerge w:val="continue"/>
            <w:vAlign w:val="center"/>
          </w:tcPr>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ascii="仿宋_GB2312" w:hAnsi="仿宋_GB2312" w:eastAsia="仿宋_GB2312" w:cs="仿宋_GB2312"/>
                <w:sz w:val="24"/>
                <w:szCs w:val="24"/>
              </w:rPr>
            </w:pPr>
          </w:p>
        </w:tc>
        <w:tc>
          <w:tcPr>
            <w:tcW w:w="1598"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D2</w:t>
            </w:r>
            <w:r>
              <w:rPr>
                <w:rFonts w:hint="eastAsia" w:ascii="仿宋_GB2312" w:hAnsi="仿宋_GB2312" w:eastAsia="仿宋_GB2312" w:cs="仿宋_GB2312"/>
                <w:kern w:val="0"/>
                <w:sz w:val="24"/>
                <w:szCs w:val="24"/>
                <w:lang w:eastAsia="zh-CN"/>
              </w:rPr>
              <w:t>社会效益指标</w:t>
            </w:r>
            <w:r>
              <w:rPr>
                <w:rFonts w:hint="eastAsia" w:ascii="仿宋_GB2312" w:hAnsi="仿宋_GB2312" w:eastAsia="仿宋_GB2312" w:cs="仿宋_GB2312"/>
                <w:kern w:val="0"/>
                <w:sz w:val="24"/>
                <w:szCs w:val="24"/>
              </w:rPr>
              <w:t>（10.00分）</w:t>
            </w:r>
          </w:p>
        </w:tc>
        <w:tc>
          <w:tcPr>
            <w:tcW w:w="1520"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left"/>
              <w:textAlignment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D21</w:t>
            </w:r>
            <w:r>
              <w:rPr>
                <w:rFonts w:hint="eastAsia" w:ascii="仿宋_GB2312" w:hAnsi="仿宋_GB2312" w:eastAsia="仿宋_GB2312" w:cs="仿宋_GB2312"/>
                <w:kern w:val="0"/>
                <w:sz w:val="24"/>
                <w:szCs w:val="24"/>
                <w:lang w:val="en-US" w:eastAsia="zh-CN"/>
              </w:rPr>
              <w:t>年化全员劳动生产率</w:t>
            </w:r>
          </w:p>
        </w:tc>
        <w:tc>
          <w:tcPr>
            <w:tcW w:w="1210"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30万元/人</w:t>
            </w:r>
          </w:p>
        </w:tc>
        <w:tc>
          <w:tcPr>
            <w:tcW w:w="1216"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42.6</w:t>
            </w:r>
          </w:p>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sz w:val="24"/>
                <w:szCs w:val="24"/>
                <w:lang w:val="en-US" w:eastAsia="zh-CN"/>
              </w:rPr>
              <w:t>万元/人</w:t>
            </w:r>
          </w:p>
        </w:tc>
        <w:tc>
          <w:tcPr>
            <w:tcW w:w="970"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ascii="仿宋_GB2312" w:hAnsi="仿宋_GB2312" w:eastAsia="仿宋_GB2312" w:cs="仿宋_GB2312"/>
                <w:kern w:val="0"/>
                <w:sz w:val="24"/>
                <w:szCs w:val="24"/>
              </w:rPr>
            </w:pPr>
            <w:r>
              <w:rPr>
                <w:rFonts w:hint="eastAsia" w:ascii="仿宋_GB2312" w:hAnsi="仿宋_GB2312" w:cs="仿宋_GB2312"/>
                <w:sz w:val="24"/>
                <w:szCs w:val="24"/>
                <w:lang w:val="en-US" w:eastAsia="zh-CN"/>
              </w:rPr>
              <w:t>15</w:t>
            </w:r>
            <w:r>
              <w:rPr>
                <w:rFonts w:hint="eastAsia" w:ascii="仿宋_GB2312" w:hAnsi="仿宋_GB2312" w:eastAsia="仿宋_GB2312" w:cs="仿宋_GB2312"/>
                <w:sz w:val="24"/>
                <w:szCs w:val="24"/>
              </w:rPr>
              <w:t>.00</w:t>
            </w:r>
          </w:p>
        </w:tc>
        <w:tc>
          <w:tcPr>
            <w:tcW w:w="960"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4328" w:type="dxa"/>
            <w:gridSpan w:val="3"/>
            <w:vAlign w:val="center"/>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合计</w:t>
            </w:r>
          </w:p>
        </w:tc>
        <w:tc>
          <w:tcPr>
            <w:tcW w:w="1210"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textAlignment w:val="center"/>
              <w:rPr>
                <w:rFonts w:hint="eastAsia" w:ascii="仿宋_GB2312" w:hAnsi="仿宋_GB2312" w:eastAsia="仿宋_GB2312" w:cs="仿宋_GB2312"/>
                <w:kern w:val="0"/>
                <w:sz w:val="24"/>
                <w:szCs w:val="24"/>
              </w:rPr>
            </w:pPr>
          </w:p>
        </w:tc>
        <w:tc>
          <w:tcPr>
            <w:tcW w:w="1216"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ascii="仿宋_GB2312" w:hAnsi="仿宋_GB2312" w:eastAsia="仿宋_GB2312" w:cs="仿宋_GB2312"/>
                <w:kern w:val="0"/>
                <w:sz w:val="24"/>
                <w:szCs w:val="24"/>
              </w:rPr>
            </w:pPr>
          </w:p>
        </w:tc>
        <w:tc>
          <w:tcPr>
            <w:tcW w:w="970"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35.00</w:t>
            </w:r>
          </w:p>
        </w:tc>
        <w:tc>
          <w:tcPr>
            <w:tcW w:w="960" w:type="dxa"/>
            <w:vAlign w:val="center"/>
          </w:tcPr>
          <w:p>
            <w:pPr>
              <w:keepNext w:val="0"/>
              <w:keepLines w:val="0"/>
              <w:pageBreakBefore w:val="0"/>
              <w:widowControl/>
              <w:kinsoku/>
              <w:wordWrap/>
              <w:bidi w:val="0"/>
              <w:adjustRightInd w:val="0"/>
              <w:snapToGrid w:val="0"/>
              <w:spacing w:line="560" w:lineRule="exact"/>
              <w:ind w:right="0" w:rightChars="0" w:firstLine="0" w:firstLineChars="0"/>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35.00</w:t>
            </w:r>
          </w:p>
        </w:tc>
      </w:tr>
    </w:tbl>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24" w:firstLineChars="200"/>
        <w:textAlignment w:val="auto"/>
        <w:outlineLvl w:val="9"/>
        <w:rPr>
          <w:rStyle w:val="21"/>
          <w:rFonts w:hint="eastAsia" w:ascii="仿宋_GB2312" w:hAnsi="仿宋_GB2312" w:eastAsia="仿宋_GB2312" w:cs="仿宋_GB2312"/>
          <w:b w:val="0"/>
          <w:bCs/>
          <w:spacing w:val="-4"/>
          <w:sz w:val="32"/>
          <w:szCs w:val="32"/>
        </w:rPr>
      </w:pPr>
      <w:r>
        <w:rPr>
          <w:rStyle w:val="21"/>
          <w:rFonts w:hint="eastAsia" w:ascii="仿宋_GB2312" w:hAnsi="仿宋_GB2312" w:eastAsia="仿宋_GB2312" w:cs="仿宋_GB2312"/>
          <w:b w:val="0"/>
          <w:bCs/>
          <w:spacing w:val="-4"/>
          <w:sz w:val="32"/>
          <w:szCs w:val="32"/>
          <w:lang w:eastAsia="zh-CN"/>
        </w:rPr>
        <w:t>（</w:t>
      </w:r>
      <w:r>
        <w:rPr>
          <w:rStyle w:val="21"/>
          <w:rFonts w:hint="eastAsia" w:ascii="仿宋_GB2312" w:hAnsi="仿宋_GB2312" w:eastAsia="仿宋_GB2312" w:cs="仿宋_GB2312"/>
          <w:b w:val="0"/>
          <w:bCs/>
          <w:spacing w:val="-4"/>
          <w:sz w:val="32"/>
          <w:szCs w:val="32"/>
          <w:lang w:val="en-US" w:eastAsia="zh-CN"/>
        </w:rPr>
        <w:t>1）</w:t>
      </w:r>
      <w:r>
        <w:rPr>
          <w:rStyle w:val="21"/>
          <w:rFonts w:hint="eastAsia" w:ascii="仿宋_GB2312" w:hAnsi="仿宋_GB2312" w:eastAsia="仿宋_GB2312" w:cs="仿宋_GB2312"/>
          <w:b w:val="0"/>
          <w:bCs/>
          <w:spacing w:val="-4"/>
          <w:sz w:val="32"/>
          <w:szCs w:val="32"/>
        </w:rPr>
        <w:t>经济效益指标</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24" w:firstLineChars="200"/>
        <w:textAlignment w:val="auto"/>
        <w:outlineLvl w:val="9"/>
        <w:rPr>
          <w:rStyle w:val="21"/>
          <w:rFonts w:hint="eastAsia" w:ascii="仿宋_GB2312" w:hAnsi="仿宋_GB2312" w:eastAsia="仿宋_GB2312" w:cs="仿宋_GB2312"/>
          <w:b w:val="0"/>
          <w:bCs/>
          <w:spacing w:val="-4"/>
          <w:sz w:val="32"/>
          <w:szCs w:val="32"/>
        </w:rPr>
      </w:pPr>
      <w:r>
        <w:rPr>
          <w:rStyle w:val="21"/>
          <w:rFonts w:hint="eastAsia" w:ascii="仿宋_GB2312" w:hAnsi="仿宋_GB2312" w:eastAsia="仿宋_GB2312" w:cs="仿宋_GB2312"/>
          <w:b w:val="0"/>
          <w:bCs/>
          <w:spacing w:val="-4"/>
          <w:sz w:val="32"/>
          <w:szCs w:val="32"/>
        </w:rPr>
        <w:t>D11监管企业净资产收益率指标≥0.50%；指标完成值0.</w:t>
      </w:r>
      <w:r>
        <w:rPr>
          <w:rStyle w:val="21"/>
          <w:rFonts w:hint="eastAsia" w:ascii="仿宋_GB2312" w:hAnsi="仿宋_GB2312" w:eastAsia="仿宋_GB2312" w:cs="仿宋_GB2312"/>
          <w:b w:val="0"/>
          <w:bCs/>
          <w:spacing w:val="-4"/>
          <w:sz w:val="32"/>
          <w:szCs w:val="32"/>
          <w:lang w:val="en-US" w:eastAsia="zh-CN"/>
        </w:rPr>
        <w:t>7</w:t>
      </w:r>
      <w:r>
        <w:rPr>
          <w:rStyle w:val="21"/>
          <w:rFonts w:hint="eastAsia" w:ascii="仿宋_GB2312" w:hAnsi="仿宋_GB2312" w:eastAsia="仿宋_GB2312" w:cs="仿宋_GB2312"/>
          <w:b w:val="0"/>
          <w:bCs/>
          <w:spacing w:val="-4"/>
          <w:sz w:val="32"/>
          <w:szCs w:val="32"/>
        </w:rPr>
        <w:t>%万元，指标完成率100%。该指标满分为</w:t>
      </w:r>
      <w:r>
        <w:rPr>
          <w:rStyle w:val="21"/>
          <w:rFonts w:hint="eastAsia" w:ascii="仿宋_GB2312" w:hAnsi="仿宋_GB2312" w:eastAsia="仿宋_GB2312" w:cs="仿宋_GB2312"/>
          <w:b w:val="0"/>
          <w:bCs/>
          <w:spacing w:val="-4"/>
          <w:sz w:val="32"/>
          <w:szCs w:val="32"/>
          <w:lang w:val="en-US" w:eastAsia="zh-CN"/>
        </w:rPr>
        <w:t>20</w:t>
      </w:r>
      <w:r>
        <w:rPr>
          <w:rStyle w:val="21"/>
          <w:rFonts w:hint="eastAsia" w:ascii="仿宋_GB2312" w:hAnsi="仿宋_GB2312" w:eastAsia="仿宋_GB2312" w:cs="仿宋_GB2312"/>
          <w:b w:val="0"/>
          <w:bCs/>
          <w:spacing w:val="-4"/>
          <w:sz w:val="32"/>
          <w:szCs w:val="32"/>
        </w:rPr>
        <w:t>.00 分，根据评分标准得分</w:t>
      </w:r>
      <w:r>
        <w:rPr>
          <w:rStyle w:val="21"/>
          <w:rFonts w:hint="eastAsia" w:ascii="仿宋_GB2312" w:hAnsi="仿宋_GB2312" w:eastAsia="仿宋_GB2312" w:cs="仿宋_GB2312"/>
          <w:b w:val="0"/>
          <w:bCs/>
          <w:spacing w:val="-4"/>
          <w:sz w:val="32"/>
          <w:szCs w:val="32"/>
          <w:lang w:val="en-US" w:eastAsia="zh-CN"/>
        </w:rPr>
        <w:t>20</w:t>
      </w:r>
      <w:r>
        <w:rPr>
          <w:rStyle w:val="21"/>
          <w:rFonts w:hint="eastAsia" w:ascii="仿宋_GB2312" w:hAnsi="仿宋_GB2312" w:eastAsia="仿宋_GB2312" w:cs="仿宋_GB2312"/>
          <w:b w:val="0"/>
          <w:bCs/>
          <w:spacing w:val="-4"/>
          <w:sz w:val="32"/>
          <w:szCs w:val="32"/>
        </w:rPr>
        <w:t>.00分。</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（2）社会效益指标</w:t>
      </w:r>
      <w:r>
        <w:rPr>
          <w:rStyle w:val="21"/>
          <w:rFonts w:hint="eastAsia" w:ascii="仿宋_GB2312" w:hAnsi="仿宋_GB2312" w:eastAsia="仿宋_GB2312" w:cs="仿宋_GB2312"/>
          <w:b w:val="0"/>
          <w:bCs/>
          <w:spacing w:val="-4"/>
          <w:sz w:val="32"/>
          <w:szCs w:val="32"/>
        </w:rPr>
        <w:br w:type="textWrapping"/>
      </w:r>
      <w:r>
        <w:rPr>
          <w:rStyle w:val="21"/>
          <w:rFonts w:hint="eastAsia" w:ascii="仿宋_GB2312" w:hAnsi="仿宋_GB2312" w:eastAsia="仿宋_GB2312" w:cs="仿宋_GB2312"/>
          <w:b w:val="0"/>
          <w:bCs/>
          <w:spacing w:val="-4"/>
          <w:sz w:val="32"/>
          <w:szCs w:val="32"/>
          <w:lang w:val="en-US" w:eastAsia="zh-CN"/>
        </w:rPr>
        <w:t xml:space="preserve">    </w:t>
      </w:r>
      <w:r>
        <w:rPr>
          <w:rStyle w:val="21"/>
          <w:rFonts w:hint="eastAsia" w:ascii="仿宋_GB2312" w:hAnsi="仿宋_GB2312" w:eastAsia="仿宋_GB2312" w:cs="仿宋_GB2312"/>
          <w:b w:val="0"/>
          <w:bCs/>
          <w:spacing w:val="-4"/>
          <w:sz w:val="32"/>
          <w:szCs w:val="32"/>
        </w:rPr>
        <w:t>D21</w:t>
      </w:r>
      <w:r>
        <w:rPr>
          <w:rStyle w:val="21"/>
          <w:rFonts w:hint="eastAsia" w:ascii="仿宋_GB2312" w:hAnsi="仿宋_GB2312" w:eastAsia="仿宋_GB2312" w:cs="仿宋_GB2312"/>
          <w:b w:val="0"/>
          <w:bCs/>
          <w:spacing w:val="-4"/>
          <w:sz w:val="32"/>
          <w:szCs w:val="32"/>
          <w:lang w:val="en-US" w:eastAsia="zh-CN"/>
        </w:rPr>
        <w:t>年化全员劳动生产率</w:t>
      </w:r>
      <w:r>
        <w:rPr>
          <w:rStyle w:val="21"/>
          <w:rFonts w:hint="eastAsia" w:ascii="仿宋_GB2312" w:hAnsi="仿宋_GB2312" w:eastAsia="仿宋_GB2312" w:cs="仿宋_GB2312"/>
          <w:b w:val="0"/>
          <w:bCs/>
          <w:spacing w:val="-4"/>
          <w:sz w:val="32"/>
          <w:szCs w:val="32"/>
        </w:rPr>
        <w:t>≥</w:t>
      </w:r>
      <w:r>
        <w:rPr>
          <w:rStyle w:val="21"/>
          <w:rFonts w:hint="eastAsia" w:ascii="仿宋_GB2312" w:hAnsi="仿宋_GB2312" w:eastAsia="仿宋_GB2312" w:cs="仿宋_GB2312"/>
          <w:b w:val="0"/>
          <w:bCs/>
          <w:spacing w:val="-4"/>
          <w:sz w:val="32"/>
          <w:szCs w:val="32"/>
          <w:lang w:val="en-US" w:eastAsia="zh-CN"/>
        </w:rPr>
        <w:t>30万元/人</w:t>
      </w:r>
      <w:r>
        <w:rPr>
          <w:rStyle w:val="21"/>
          <w:rFonts w:hint="eastAsia" w:ascii="仿宋_GB2312" w:hAnsi="仿宋_GB2312" w:eastAsia="仿宋_GB2312" w:cs="仿宋_GB2312"/>
          <w:b w:val="0"/>
          <w:bCs/>
          <w:spacing w:val="-4"/>
          <w:sz w:val="32"/>
          <w:szCs w:val="32"/>
        </w:rPr>
        <w:t>；指标完成值</w:t>
      </w:r>
      <w:r>
        <w:rPr>
          <w:rStyle w:val="21"/>
          <w:rFonts w:hint="eastAsia" w:ascii="仿宋_GB2312" w:hAnsi="仿宋_GB2312" w:eastAsia="仿宋_GB2312" w:cs="仿宋_GB2312"/>
          <w:b w:val="0"/>
          <w:bCs/>
          <w:spacing w:val="-4"/>
          <w:sz w:val="32"/>
          <w:szCs w:val="32"/>
          <w:lang w:val="en-US" w:eastAsia="zh-CN"/>
        </w:rPr>
        <w:t>42.6</w:t>
      </w:r>
      <w:r>
        <w:rPr>
          <w:rStyle w:val="21"/>
          <w:rFonts w:hint="eastAsia" w:ascii="仿宋_GB2312" w:hAnsi="仿宋_GB2312" w:eastAsia="仿宋_GB2312" w:cs="仿宋_GB2312"/>
          <w:b w:val="0"/>
          <w:bCs/>
          <w:spacing w:val="-4"/>
          <w:sz w:val="32"/>
          <w:szCs w:val="32"/>
        </w:rPr>
        <w:t>万元</w:t>
      </w:r>
      <w:r>
        <w:rPr>
          <w:rStyle w:val="21"/>
          <w:rFonts w:hint="eastAsia" w:ascii="仿宋_GB2312" w:hAnsi="仿宋_GB2312" w:eastAsia="仿宋_GB2312" w:cs="仿宋_GB2312"/>
          <w:b w:val="0"/>
          <w:bCs/>
          <w:spacing w:val="-4"/>
          <w:sz w:val="32"/>
          <w:szCs w:val="32"/>
          <w:lang w:val="en-US" w:eastAsia="zh-CN"/>
        </w:rPr>
        <w:t>/人</w:t>
      </w:r>
      <w:r>
        <w:rPr>
          <w:rStyle w:val="21"/>
          <w:rFonts w:hint="eastAsia" w:ascii="仿宋_GB2312" w:hAnsi="仿宋_GB2312" w:eastAsia="仿宋_GB2312" w:cs="仿宋_GB2312"/>
          <w:b w:val="0"/>
          <w:bCs/>
          <w:spacing w:val="-4"/>
          <w:sz w:val="32"/>
          <w:szCs w:val="32"/>
        </w:rPr>
        <w:t>，指标完成率100%。该指标满分为1</w:t>
      </w:r>
      <w:r>
        <w:rPr>
          <w:rStyle w:val="21"/>
          <w:rFonts w:hint="eastAsia" w:ascii="仿宋_GB2312" w:hAnsi="仿宋_GB2312" w:eastAsia="仿宋_GB2312" w:cs="仿宋_GB2312"/>
          <w:b w:val="0"/>
          <w:bCs/>
          <w:spacing w:val="-4"/>
          <w:sz w:val="32"/>
          <w:szCs w:val="32"/>
          <w:lang w:val="en-US" w:eastAsia="zh-CN"/>
        </w:rPr>
        <w:t>5</w:t>
      </w:r>
      <w:r>
        <w:rPr>
          <w:rStyle w:val="21"/>
          <w:rFonts w:hint="eastAsia" w:ascii="仿宋_GB2312" w:hAnsi="仿宋_GB2312" w:eastAsia="仿宋_GB2312" w:cs="仿宋_GB2312"/>
          <w:b w:val="0"/>
          <w:bCs/>
          <w:spacing w:val="-4"/>
          <w:sz w:val="32"/>
          <w:szCs w:val="32"/>
        </w:rPr>
        <w:t>.00 分，根据评分标准得1</w:t>
      </w:r>
      <w:r>
        <w:rPr>
          <w:rStyle w:val="21"/>
          <w:rFonts w:hint="eastAsia" w:ascii="仿宋_GB2312" w:hAnsi="仿宋_GB2312" w:eastAsia="仿宋_GB2312" w:cs="仿宋_GB2312"/>
          <w:b w:val="0"/>
          <w:bCs/>
          <w:spacing w:val="-4"/>
          <w:sz w:val="32"/>
          <w:szCs w:val="32"/>
          <w:lang w:val="en-US" w:eastAsia="zh-CN"/>
        </w:rPr>
        <w:t>5</w:t>
      </w:r>
      <w:r>
        <w:rPr>
          <w:rStyle w:val="21"/>
          <w:rFonts w:hint="eastAsia" w:ascii="仿宋_GB2312" w:hAnsi="仿宋_GB2312" w:eastAsia="仿宋_GB2312" w:cs="仿宋_GB2312"/>
          <w:b w:val="0"/>
          <w:bCs/>
          <w:spacing w:val="-4"/>
          <w:sz w:val="32"/>
          <w:szCs w:val="32"/>
        </w:rPr>
        <w:t>.00分。</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textAlignment w:val="auto"/>
        <w:outlineLvl w:val="9"/>
        <w:rPr>
          <w:rStyle w:val="21"/>
          <w:rFonts w:hint="eastAsia" w:ascii="黑体" w:hAnsi="黑体" w:eastAsia="黑体" w:cs="黑体"/>
          <w:b w:val="0"/>
          <w:bCs/>
          <w:spacing w:val="-4"/>
          <w:sz w:val="32"/>
          <w:szCs w:val="32"/>
        </w:rPr>
      </w:pPr>
      <w:r>
        <w:rPr>
          <w:rStyle w:val="21"/>
          <w:rFonts w:hint="eastAsia" w:ascii="黑体" w:hAnsi="黑体" w:eastAsia="黑体" w:cs="黑体"/>
          <w:b w:val="0"/>
          <w:bCs/>
          <w:spacing w:val="-4"/>
          <w:sz w:val="32"/>
          <w:szCs w:val="32"/>
          <w:lang w:eastAsia="zh-CN"/>
        </w:rPr>
        <w:t>五</w:t>
      </w:r>
      <w:r>
        <w:rPr>
          <w:rStyle w:val="21"/>
          <w:rFonts w:hint="eastAsia" w:ascii="黑体" w:hAnsi="黑体" w:eastAsia="黑体" w:cs="黑体"/>
          <w:b w:val="0"/>
          <w:bCs/>
          <w:spacing w:val="-4"/>
          <w:sz w:val="32"/>
          <w:szCs w:val="32"/>
        </w:rPr>
        <w:t>、主要经验及做法、存在的问题及原因分析</w:t>
      </w:r>
    </w:p>
    <w:p>
      <w:pPr>
        <w:pageBreakBefore w:val="0"/>
        <w:widowControl w:val="0"/>
        <w:kinsoku/>
        <w:wordWrap/>
        <w:overflowPunct/>
        <w:topLinePunct w:val="0"/>
        <w:autoSpaceDE/>
        <w:autoSpaceDN/>
        <w:bidi w:val="0"/>
        <w:adjustRightInd/>
        <w:snapToGrid/>
        <w:spacing w:line="560" w:lineRule="exact"/>
        <w:ind w:left="0" w:leftChars="0" w:right="0" w:rightChars="0" w:firstLine="626" w:firstLineChars="200"/>
        <w:jc w:val="both"/>
        <w:textAlignment w:val="auto"/>
        <w:rPr>
          <w:rFonts w:hint="eastAsia" w:ascii="仿宋_GB2312" w:hAnsi="仿宋_GB2312" w:eastAsia="仿宋_GB2312" w:cs="仿宋_GB2312"/>
          <w:b w:val="0"/>
          <w:bCs w:val="0"/>
          <w:sz w:val="32"/>
          <w:szCs w:val="32"/>
          <w:highlight w:val="none"/>
        </w:rPr>
      </w:pPr>
      <w:r>
        <w:rPr>
          <w:rStyle w:val="21"/>
          <w:rFonts w:hint="eastAsia" w:ascii="仿宋_GB2312" w:hAnsi="仿宋_GB2312" w:eastAsia="仿宋_GB2312" w:cs="仿宋_GB2312"/>
          <w:b/>
          <w:bCs w:val="0"/>
          <w:spacing w:val="-4"/>
          <w:sz w:val="32"/>
          <w:szCs w:val="32"/>
        </w:rPr>
        <w:t>主要经验及做法：</w:t>
      </w:r>
      <w:r>
        <w:rPr>
          <w:rFonts w:hint="eastAsia" w:ascii="仿宋_GB2312" w:hAnsi="仿宋_GB2312" w:eastAsia="仿宋_GB2312" w:cs="仿宋_GB2312"/>
          <w:sz w:val="32"/>
          <w:szCs w:val="32"/>
          <w:lang w:eastAsia="zh-CN"/>
        </w:rPr>
        <w:t>一年来，我委能够</w:t>
      </w:r>
      <w:r>
        <w:rPr>
          <w:rFonts w:hint="eastAsia" w:ascii="仿宋_GB2312" w:hAnsi="仿宋_GB2312" w:eastAsia="仿宋_GB2312" w:cs="仿宋_GB2312"/>
          <w:sz w:val="32"/>
          <w:szCs w:val="32"/>
        </w:rPr>
        <w:t>切实发挥绩效</w:t>
      </w:r>
      <w:r>
        <w:rPr>
          <w:rFonts w:hint="eastAsia" w:ascii="仿宋_GB2312" w:hAnsi="仿宋_GB2312" w:eastAsia="仿宋_GB2312" w:cs="仿宋_GB2312"/>
          <w:sz w:val="32"/>
          <w:szCs w:val="32"/>
          <w:lang w:eastAsia="zh-CN"/>
        </w:rPr>
        <w:t>管理</w:t>
      </w:r>
      <w:r>
        <w:rPr>
          <w:rFonts w:hint="eastAsia" w:ascii="仿宋_GB2312" w:hAnsi="仿宋_GB2312" w:eastAsia="仿宋_GB2312" w:cs="仿宋_GB2312"/>
          <w:sz w:val="32"/>
          <w:szCs w:val="32"/>
        </w:rPr>
        <w:t>责任主体作用</w:t>
      </w:r>
      <w:r>
        <w:rPr>
          <w:rFonts w:hint="eastAsia" w:ascii="仿宋_GB2312" w:hAnsi="仿宋_GB2312" w:eastAsia="仿宋_GB2312" w:cs="仿宋_GB2312"/>
          <w:bCs/>
          <w:kern w:val="2"/>
          <w:sz w:val="32"/>
          <w:szCs w:val="32"/>
          <w:highlight w:val="none"/>
          <w:lang w:val="en-US" w:eastAsia="zh-CN" w:bidi="ar"/>
        </w:rPr>
        <w:t>，持续推进预算绩效管理工作</w:t>
      </w:r>
      <w:r>
        <w:rPr>
          <w:rFonts w:hint="eastAsia" w:ascii="仿宋_GB2312" w:hAnsi="仿宋_GB2312" w:eastAsia="仿宋_GB2312" w:cs="仿宋_GB2312"/>
          <w:sz w:val="32"/>
          <w:szCs w:val="32"/>
        </w:rPr>
        <w:t>。</w:t>
      </w:r>
      <w:r>
        <w:rPr>
          <w:rFonts w:hint="eastAsia" w:ascii="楷体_GB2312" w:hAnsi="楷体_GB2312" w:eastAsia="楷体_GB2312" w:cs="楷体_GB2312"/>
          <w:spacing w:val="-6"/>
          <w:sz w:val="32"/>
          <w:szCs w:val="32"/>
        </w:rPr>
        <w:t>一是加强组织领导。</w:t>
      </w:r>
      <w:r>
        <w:rPr>
          <w:rFonts w:hint="eastAsia" w:ascii="仿宋_GB2312" w:hAnsi="仿宋_GB2312" w:eastAsia="仿宋_GB2312" w:cs="仿宋_GB2312"/>
          <w:spacing w:val="-6"/>
          <w:sz w:val="32"/>
          <w:szCs w:val="32"/>
        </w:rPr>
        <w:t>按</w:t>
      </w:r>
      <w:r>
        <w:rPr>
          <w:rFonts w:hint="eastAsia" w:ascii="仿宋_GB2312" w:hAnsi="仿宋_GB2312" w:eastAsia="仿宋_GB2312" w:cs="仿宋_GB2312"/>
          <w:spacing w:val="-6"/>
          <w:sz w:val="32"/>
          <w:szCs w:val="32"/>
          <w:lang w:eastAsia="zh-CN"/>
        </w:rPr>
        <w:t>照绩效管理</w:t>
      </w:r>
      <w:r>
        <w:rPr>
          <w:rFonts w:hint="eastAsia" w:ascii="仿宋_GB2312" w:hAnsi="仿宋_GB2312" w:eastAsia="仿宋_GB2312" w:cs="仿宋_GB2312"/>
          <w:spacing w:val="-6"/>
          <w:sz w:val="32"/>
          <w:szCs w:val="32"/>
        </w:rPr>
        <w:t>要求，</w:t>
      </w:r>
      <w:r>
        <w:rPr>
          <w:rFonts w:hint="eastAsia" w:ascii="仿宋_GB2312" w:hAnsi="仿宋_GB2312" w:eastAsia="仿宋_GB2312" w:cs="仿宋_GB2312"/>
          <w:spacing w:val="-6"/>
          <w:sz w:val="32"/>
          <w:szCs w:val="32"/>
          <w:lang w:eastAsia="zh-CN"/>
        </w:rPr>
        <w:t>主要领导亲自</w:t>
      </w:r>
      <w:r>
        <w:rPr>
          <w:rFonts w:hint="eastAsia" w:ascii="仿宋_GB2312" w:hAnsi="仿宋_GB2312" w:eastAsia="仿宋_GB2312" w:cs="仿宋_GB2312"/>
          <w:spacing w:val="-6"/>
          <w:sz w:val="32"/>
          <w:szCs w:val="32"/>
        </w:rPr>
        <w:t>安排部署，分管领导牵头，办公室具体负责组织、协调和督促落实工作任务。</w:t>
      </w:r>
      <w:r>
        <w:rPr>
          <w:rFonts w:hint="eastAsia" w:ascii="楷体_GB2312" w:hAnsi="楷体_GB2312" w:eastAsia="楷体_GB2312" w:cs="楷体_GB2312"/>
          <w:b w:val="0"/>
          <w:bCs w:val="0"/>
          <w:sz w:val="32"/>
          <w:szCs w:val="32"/>
          <w:highlight w:val="none"/>
          <w:lang w:eastAsia="zh-CN"/>
        </w:rPr>
        <w:t>二是不断</w:t>
      </w:r>
      <w:r>
        <w:rPr>
          <w:rFonts w:hint="eastAsia" w:ascii="楷体_GB2312" w:hAnsi="楷体_GB2312" w:eastAsia="楷体_GB2312" w:cs="楷体_GB2312"/>
          <w:b w:val="0"/>
          <w:bCs w:val="0"/>
          <w:sz w:val="32"/>
          <w:szCs w:val="32"/>
          <w:highlight w:val="none"/>
        </w:rPr>
        <w:t>提高预算编制水平。</w:t>
      </w:r>
      <w:r>
        <w:rPr>
          <w:rFonts w:hint="eastAsia" w:ascii="仿宋_GB2312" w:hAnsi="仿宋_GB2312" w:eastAsia="仿宋_GB2312" w:cs="仿宋_GB2312"/>
          <w:b w:val="0"/>
          <w:bCs w:val="0"/>
          <w:sz w:val="32"/>
          <w:szCs w:val="32"/>
          <w:highlight w:val="none"/>
          <w:lang w:eastAsia="zh-CN"/>
        </w:rPr>
        <w:t>认真落实强化预算约束、党政机关习惯过紧日子等相关要求，组织召开预算审核专题会议</w:t>
      </w:r>
      <w:r>
        <w:rPr>
          <w:rFonts w:hint="eastAsia" w:ascii="仿宋_GB2312" w:hAnsi="仿宋_GB2312" w:eastAsia="仿宋_GB2312" w:cs="仿宋_GB2312"/>
          <w:b w:val="0"/>
          <w:bCs w:val="0"/>
          <w:sz w:val="32"/>
          <w:szCs w:val="32"/>
          <w:highlight w:val="none"/>
          <w:lang w:val="en-US" w:eastAsia="zh-CN"/>
        </w:rPr>
        <w:t>并提交党委会审议，</w:t>
      </w:r>
      <w:r>
        <w:rPr>
          <w:rFonts w:hint="eastAsia" w:ascii="仿宋_GB2312" w:hAnsi="仿宋_GB2312" w:eastAsia="仿宋_GB2312" w:cs="仿宋_GB2312"/>
          <w:b w:val="0"/>
          <w:bCs w:val="0"/>
          <w:sz w:val="32"/>
          <w:szCs w:val="32"/>
          <w:highlight w:val="none"/>
          <w:lang w:eastAsia="zh-CN"/>
        </w:rPr>
        <w:t>预算编制科学化、精细化水平逐步提升</w:t>
      </w:r>
      <w:r>
        <w:rPr>
          <w:rFonts w:hint="eastAsia" w:ascii="仿宋_GB2312" w:hAnsi="仿宋_GB2312" w:eastAsia="仿宋_GB2312" w:cs="仿宋_GB2312"/>
          <w:b w:val="0"/>
          <w:bCs w:val="0"/>
          <w:sz w:val="32"/>
          <w:szCs w:val="32"/>
          <w:highlight w:val="none"/>
          <w:lang w:val="en-US" w:eastAsia="zh-CN"/>
        </w:rPr>
        <w:t>。</w:t>
      </w:r>
      <w:r>
        <w:rPr>
          <w:rFonts w:hint="eastAsia" w:ascii="楷体_GB2312" w:hAnsi="楷体_GB2312" w:eastAsia="楷体_GB2312" w:cs="楷体_GB2312"/>
          <w:b w:val="0"/>
          <w:bCs w:val="0"/>
          <w:sz w:val="32"/>
          <w:szCs w:val="32"/>
          <w:highlight w:val="none"/>
          <w:lang w:val="en-US" w:eastAsia="zh-CN"/>
        </w:rPr>
        <w:t>三是</w:t>
      </w:r>
      <w:r>
        <w:rPr>
          <w:rFonts w:hint="eastAsia" w:ascii="楷体_GB2312" w:hAnsi="楷体_GB2312" w:eastAsia="楷体_GB2312" w:cs="楷体_GB2312"/>
          <w:b w:val="0"/>
          <w:bCs w:val="0"/>
          <w:sz w:val="32"/>
          <w:szCs w:val="32"/>
          <w:highlight w:val="none"/>
        </w:rPr>
        <w:t>科学设定绩效目标。</w:t>
      </w:r>
      <w:r>
        <w:rPr>
          <w:rFonts w:hint="eastAsia" w:ascii="仿宋_GB2312" w:hAnsi="仿宋_GB2312" w:eastAsia="仿宋_GB2312" w:cs="仿宋_GB2312"/>
          <w:b w:val="0"/>
          <w:bCs w:val="0"/>
          <w:sz w:val="32"/>
          <w:szCs w:val="32"/>
          <w:highlight w:val="none"/>
          <w:lang w:eastAsia="zh-CN"/>
        </w:rPr>
        <w:t>绩效目标的设定与各</w:t>
      </w:r>
      <w:r>
        <w:rPr>
          <w:rFonts w:hint="eastAsia" w:ascii="仿宋_GB2312" w:hAnsi="仿宋_GB2312" w:eastAsia="仿宋_GB2312" w:cs="仿宋_GB2312"/>
          <w:b w:val="0"/>
          <w:bCs w:val="0"/>
          <w:sz w:val="32"/>
          <w:szCs w:val="32"/>
          <w:highlight w:val="none"/>
        </w:rPr>
        <w:t>部门工作职责</w:t>
      </w:r>
      <w:r>
        <w:rPr>
          <w:rFonts w:hint="eastAsia" w:ascii="仿宋_GB2312" w:hAnsi="仿宋_GB2312" w:eastAsia="仿宋_GB2312" w:cs="仿宋_GB2312"/>
          <w:b w:val="0"/>
          <w:bCs w:val="0"/>
          <w:sz w:val="32"/>
          <w:szCs w:val="32"/>
          <w:highlight w:val="none"/>
          <w:lang w:eastAsia="zh-CN"/>
        </w:rPr>
        <w:t>及下年度</w:t>
      </w:r>
      <w:r>
        <w:rPr>
          <w:rFonts w:hint="eastAsia" w:ascii="仿宋_GB2312" w:hAnsi="仿宋_GB2312" w:eastAsia="仿宋_GB2312" w:cs="仿宋_GB2312"/>
          <w:b w:val="0"/>
          <w:bCs w:val="0"/>
          <w:sz w:val="32"/>
          <w:szCs w:val="32"/>
          <w:highlight w:val="none"/>
        </w:rPr>
        <w:t>工作计</w:t>
      </w:r>
      <w:r>
        <w:rPr>
          <w:rFonts w:hint="eastAsia" w:ascii="仿宋_GB2312" w:hAnsi="仿宋_GB2312" w:eastAsia="仿宋_GB2312" w:cs="仿宋_GB2312"/>
          <w:b w:val="0"/>
          <w:bCs w:val="0"/>
          <w:sz w:val="32"/>
          <w:szCs w:val="32"/>
          <w:highlight w:val="none"/>
          <w:lang w:eastAsia="zh-CN"/>
        </w:rPr>
        <w:t>划高度关联，做到量化可评、</w:t>
      </w:r>
      <w:r>
        <w:rPr>
          <w:rFonts w:hint="eastAsia" w:ascii="仿宋_GB2312" w:hAnsi="仿宋_GB2312" w:eastAsia="仿宋_GB2312" w:cs="仿宋_GB2312"/>
          <w:b w:val="0"/>
          <w:bCs w:val="0"/>
          <w:sz w:val="32"/>
          <w:szCs w:val="32"/>
          <w:highlight w:val="none"/>
        </w:rPr>
        <w:t>评有所依</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充分发挥绩效目标对预算执行的引导约束和控制作用。</w:t>
      </w:r>
      <w:r>
        <w:rPr>
          <w:rFonts w:hint="eastAsia" w:ascii="楷体_GB2312" w:hAnsi="楷体_GB2312" w:eastAsia="楷体_GB2312" w:cs="楷体_GB2312"/>
          <w:b w:val="0"/>
          <w:bCs w:val="0"/>
          <w:sz w:val="32"/>
          <w:szCs w:val="32"/>
          <w:highlight w:val="none"/>
          <w:lang w:eastAsia="zh-CN"/>
        </w:rPr>
        <w:t>四是</w:t>
      </w:r>
      <w:r>
        <w:rPr>
          <w:rFonts w:hint="eastAsia" w:ascii="楷体_GB2312" w:hAnsi="楷体_GB2312" w:eastAsia="楷体_GB2312" w:cs="楷体_GB2312"/>
          <w:b w:val="0"/>
          <w:bCs w:val="0"/>
          <w:sz w:val="32"/>
          <w:szCs w:val="32"/>
          <w:highlight w:val="none"/>
        </w:rPr>
        <w:t>严格预算执行，加强绩效监控。</w:t>
      </w:r>
      <w:r>
        <w:rPr>
          <w:rFonts w:hint="eastAsia" w:ascii="仿宋_GB2312" w:hAnsi="仿宋_GB2312" w:eastAsia="仿宋_GB2312" w:cs="仿宋_GB2312"/>
          <w:b w:val="0"/>
          <w:bCs w:val="0"/>
          <w:color w:val="000000"/>
          <w:sz w:val="32"/>
          <w:szCs w:val="32"/>
          <w:highlight w:val="none"/>
          <w:lang w:eastAsia="zh-CN"/>
        </w:rPr>
        <w:t>为进一步强化预算管理，本年度修订了《自治区国资委机关财务管理办法》等</w:t>
      </w:r>
      <w:r>
        <w:rPr>
          <w:rFonts w:hint="eastAsia" w:ascii="仿宋_GB2312" w:hAnsi="仿宋_GB2312" w:eastAsia="仿宋_GB2312" w:cs="仿宋_GB2312"/>
          <w:b w:val="0"/>
          <w:bCs w:val="0"/>
          <w:color w:val="000000"/>
          <w:sz w:val="32"/>
          <w:szCs w:val="32"/>
          <w:highlight w:val="none"/>
          <w:lang w:val="en-US" w:eastAsia="zh-CN"/>
        </w:rPr>
        <w:t>4项管理制度。年内召开2次专题会议督导绩效运行情况，</w:t>
      </w:r>
      <w:r>
        <w:rPr>
          <w:rFonts w:hint="eastAsia" w:ascii="仿宋_GB2312" w:hAnsi="仿宋_GB2312" w:eastAsia="仿宋_GB2312" w:cs="仿宋_GB2312"/>
          <w:b w:val="0"/>
          <w:bCs w:val="0"/>
          <w:color w:val="000000"/>
          <w:sz w:val="32"/>
          <w:szCs w:val="32"/>
          <w:highlight w:val="none"/>
          <w:lang w:eastAsia="zh-CN"/>
        </w:rPr>
        <w:t>以</w:t>
      </w:r>
      <w:r>
        <w:rPr>
          <w:rFonts w:hint="eastAsia" w:ascii="仿宋_GB2312" w:hAnsi="仿宋_GB2312" w:eastAsia="仿宋_GB2312" w:cs="仿宋_GB2312"/>
          <w:b w:val="0"/>
          <w:bCs w:val="0"/>
          <w:sz w:val="32"/>
          <w:szCs w:val="32"/>
          <w:highlight w:val="none"/>
        </w:rPr>
        <w:t>确保绩效目标如期</w:t>
      </w:r>
      <w:r>
        <w:rPr>
          <w:rFonts w:hint="eastAsia" w:ascii="仿宋_GB2312" w:hAnsi="仿宋_GB2312" w:eastAsia="仿宋_GB2312" w:cs="仿宋_GB2312"/>
          <w:b w:val="0"/>
          <w:bCs w:val="0"/>
          <w:sz w:val="32"/>
          <w:szCs w:val="32"/>
          <w:highlight w:val="none"/>
          <w:lang w:eastAsia="zh-CN"/>
        </w:rPr>
        <w:t>完成</w:t>
      </w:r>
      <w:r>
        <w:rPr>
          <w:rFonts w:hint="eastAsia" w:ascii="仿宋_GB2312" w:hAnsi="仿宋_GB2312" w:eastAsia="仿宋_GB2312" w:cs="仿宋_GB2312"/>
          <w:b w:val="0"/>
          <w:bCs w:val="0"/>
          <w:sz w:val="32"/>
          <w:szCs w:val="32"/>
          <w:highlight w:val="none"/>
        </w:rPr>
        <w:t>。</w:t>
      </w:r>
      <w:r>
        <w:rPr>
          <w:rFonts w:hint="eastAsia" w:ascii="楷体_GB2312" w:hAnsi="楷体_GB2312" w:eastAsia="楷体_GB2312" w:cs="楷体_GB2312"/>
          <w:b w:val="0"/>
          <w:bCs w:val="0"/>
          <w:sz w:val="32"/>
          <w:szCs w:val="32"/>
          <w:highlight w:val="none"/>
          <w:lang w:eastAsia="zh-CN"/>
        </w:rPr>
        <w:t>五是</w:t>
      </w:r>
      <w:r>
        <w:rPr>
          <w:rFonts w:hint="eastAsia" w:ascii="楷体_GB2312" w:hAnsi="楷体_GB2312" w:eastAsia="楷体_GB2312" w:cs="楷体_GB2312"/>
          <w:b w:val="0"/>
          <w:bCs w:val="0"/>
          <w:color w:val="000000"/>
          <w:sz w:val="32"/>
          <w:szCs w:val="32"/>
          <w:highlight w:val="none"/>
        </w:rPr>
        <w:t>认真开展绩效评价。</w:t>
      </w:r>
      <w:r>
        <w:rPr>
          <w:rFonts w:hint="eastAsia" w:ascii="仿宋_GB2312" w:hAnsi="仿宋_GB2312" w:eastAsia="仿宋_GB2312" w:cs="仿宋_GB2312"/>
          <w:b w:val="0"/>
          <w:bCs w:val="0"/>
          <w:kern w:val="2"/>
          <w:sz w:val="32"/>
          <w:szCs w:val="32"/>
          <w:highlight w:val="none"/>
          <w:lang w:val="en-US" w:eastAsia="zh-CN" w:bidi="ar"/>
        </w:rPr>
        <w:t>不断</w:t>
      </w:r>
      <w:r>
        <w:rPr>
          <w:rFonts w:hint="eastAsia" w:ascii="仿宋_GB2312" w:hAnsi="仿宋_GB2312" w:eastAsia="仿宋_GB2312" w:cs="仿宋_GB2312"/>
          <w:b w:val="0"/>
          <w:bCs w:val="0"/>
          <w:kern w:val="2"/>
          <w:sz w:val="32"/>
          <w:szCs w:val="32"/>
          <w:highlight w:val="none"/>
          <w:lang w:eastAsia="zh-CN" w:bidi="ar"/>
        </w:rPr>
        <w:t>强化</w:t>
      </w:r>
      <w:r>
        <w:rPr>
          <w:rFonts w:hint="eastAsia" w:ascii="仿宋_GB2312" w:hAnsi="仿宋_GB2312" w:eastAsia="仿宋_GB2312" w:cs="仿宋_GB2312"/>
          <w:b w:val="0"/>
          <w:bCs w:val="0"/>
          <w:kern w:val="2"/>
          <w:sz w:val="32"/>
          <w:szCs w:val="32"/>
          <w:highlight w:val="none"/>
          <w:lang w:val="en-US" w:eastAsia="zh-CN" w:bidi="ar"/>
        </w:rPr>
        <w:t>“花钱必问效、无效必问责”的理念</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color w:val="000000"/>
          <w:sz w:val="32"/>
          <w:szCs w:val="32"/>
          <w:highlight w:val="none"/>
        </w:rPr>
        <w:t>认真组织开展绩效自评，</w:t>
      </w:r>
      <w:r>
        <w:rPr>
          <w:rFonts w:hint="eastAsia" w:ascii="仿宋_GB2312" w:hAnsi="仿宋_GB2312" w:eastAsia="仿宋_GB2312" w:cs="仿宋_GB2312"/>
          <w:b w:val="0"/>
          <w:bCs w:val="0"/>
          <w:sz w:val="32"/>
          <w:szCs w:val="32"/>
          <w:highlight w:val="none"/>
        </w:rPr>
        <w:t>检视问题，改进工作，</w:t>
      </w:r>
      <w:r>
        <w:rPr>
          <w:rFonts w:hint="eastAsia" w:ascii="仿宋_GB2312" w:hAnsi="仿宋_GB2312" w:eastAsia="仿宋_GB2312" w:cs="仿宋_GB2312"/>
          <w:b w:val="0"/>
          <w:bCs w:val="0"/>
          <w:color w:val="000000"/>
          <w:sz w:val="32"/>
          <w:szCs w:val="32"/>
          <w:highlight w:val="none"/>
        </w:rPr>
        <w:t>按要求向财政部门</w:t>
      </w:r>
      <w:r>
        <w:rPr>
          <w:rFonts w:hint="eastAsia" w:ascii="仿宋_GB2312" w:hAnsi="仿宋_GB2312" w:eastAsia="仿宋_GB2312" w:cs="仿宋_GB2312"/>
          <w:b w:val="0"/>
          <w:bCs w:val="0"/>
          <w:sz w:val="32"/>
          <w:szCs w:val="32"/>
          <w:highlight w:val="none"/>
        </w:rPr>
        <w:t>报送绩效监控和绩效自评情况。</w:t>
      </w:r>
    </w:p>
    <w:p>
      <w:pPr>
        <w:widowControl w:val="0"/>
        <w:wordWrap/>
        <w:adjustRightInd/>
        <w:snapToGrid/>
        <w:spacing w:line="600" w:lineRule="exact"/>
        <w:ind w:right="0" w:firstLine="626" w:firstLineChars="200"/>
        <w:textAlignment w:val="auto"/>
        <w:rPr>
          <w:rStyle w:val="21"/>
          <w:rFonts w:hint="eastAsia" w:ascii="仿宋_GB2312" w:hAnsi="仿宋_GB2312" w:eastAsia="仿宋_GB2312" w:cs="仿宋_GB2312"/>
          <w:b w:val="0"/>
          <w:bCs/>
          <w:spacing w:val="-4"/>
          <w:sz w:val="32"/>
          <w:szCs w:val="32"/>
        </w:rPr>
      </w:pPr>
      <w:r>
        <w:rPr>
          <w:rStyle w:val="21"/>
          <w:rFonts w:hint="eastAsia" w:ascii="仿宋_GB2312" w:hAnsi="仿宋_GB2312" w:eastAsia="仿宋_GB2312" w:cs="仿宋_GB2312"/>
          <w:b/>
          <w:bCs w:val="0"/>
          <w:spacing w:val="-4"/>
          <w:sz w:val="32"/>
          <w:szCs w:val="32"/>
        </w:rPr>
        <w:t>存在的问题和原因分析：</w:t>
      </w:r>
      <w:r>
        <w:rPr>
          <w:rFonts w:hint="eastAsia" w:ascii="仿宋_GB2312" w:hAnsi="仿宋_GB2312" w:eastAsia="仿宋_GB2312" w:cs="仿宋_GB2312"/>
          <w:b w:val="0"/>
          <w:bCs w:val="0"/>
          <w:sz w:val="32"/>
          <w:szCs w:val="32"/>
          <w:highlight w:val="none"/>
        </w:rPr>
        <w:t>一是科学合理设定绩效指标的水平有待提高。主要表现在数量指标、经济效益指标的设定较为保守，预期指标与实际完成指标值存在一定的偏差；二是项目执行计划性不强，项目前期工作推进不足，导致预算执行进度达不到均衡性支出要求，影响阶段性绩效目标的完成比率</w:t>
      </w:r>
      <w:r>
        <w:rPr>
          <w:rFonts w:hint="eastAsia" w:ascii="仿宋_GB2312" w:hAnsi="仿宋_GB2312" w:eastAsia="仿宋_GB2312" w:cs="仿宋_GB2312"/>
          <w:b w:val="0"/>
          <w:bCs w:val="0"/>
          <w:sz w:val="32"/>
          <w:szCs w:val="32"/>
          <w:highlight w:val="none"/>
          <w:lang w:eastAsia="zh-CN"/>
        </w:rPr>
        <w:t>；三是还存在部分部门对评价结果重视度不够，整改落实不到位的情况。</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outlineLvl w:val="9"/>
        <w:rPr>
          <w:rStyle w:val="21"/>
          <w:rFonts w:hint="eastAsia" w:ascii="黑体" w:hAnsi="黑体" w:eastAsia="黑体" w:cs="黑体"/>
          <w:b w:val="0"/>
          <w:bCs/>
          <w:spacing w:val="-4"/>
          <w:sz w:val="32"/>
          <w:szCs w:val="32"/>
        </w:rPr>
      </w:pPr>
      <w:r>
        <w:rPr>
          <w:rStyle w:val="21"/>
          <w:rFonts w:hint="eastAsia" w:ascii="黑体" w:hAnsi="黑体" w:eastAsia="黑体" w:cs="黑体"/>
          <w:b w:val="0"/>
          <w:bCs/>
          <w:spacing w:val="-4"/>
          <w:sz w:val="32"/>
          <w:szCs w:val="32"/>
          <w:lang w:eastAsia="zh-CN"/>
        </w:rPr>
        <w:t>六</w:t>
      </w:r>
      <w:r>
        <w:rPr>
          <w:rStyle w:val="21"/>
          <w:rFonts w:hint="eastAsia" w:ascii="黑体" w:hAnsi="黑体" w:eastAsia="黑体" w:cs="黑体"/>
          <w:b w:val="0"/>
          <w:bCs/>
          <w:spacing w:val="-4"/>
          <w:sz w:val="32"/>
          <w:szCs w:val="32"/>
        </w:rPr>
        <w:t>、有关建议</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outlineLvl w:val="9"/>
        <w:rPr>
          <w:rStyle w:val="21"/>
          <w:rFonts w:hint="eastAsia" w:ascii="仿宋_GB2312" w:hAnsi="仿宋_GB2312" w:eastAsia="仿宋_GB2312" w:cs="仿宋_GB2312"/>
          <w:b w:val="0"/>
          <w:bCs/>
          <w:spacing w:val="-4"/>
          <w:sz w:val="32"/>
          <w:szCs w:val="32"/>
        </w:rPr>
      </w:pPr>
      <w:r>
        <w:rPr>
          <w:rStyle w:val="21"/>
          <w:rFonts w:hint="eastAsia" w:ascii="仿宋_GB2312" w:hAnsi="仿宋_GB2312" w:eastAsia="仿宋_GB2312" w:cs="仿宋_GB2312"/>
          <w:b w:val="0"/>
          <w:bCs/>
          <w:spacing w:val="-4"/>
          <w:sz w:val="32"/>
          <w:szCs w:val="32"/>
        </w:rPr>
        <w:t>一是强化项目单位预算绩效管理专业能力建设，完善预算项目绩效目标编制审核流程，针对项目绩效目标表设置中存在的问题，建议项目实施单位进一步加强对于业务人员和财务人员预算绩效管理专业知识体系的建设和实操经验的培养，可采用聘请绩效行业专家开展绩效管理讲座、每年参加绩效行业培训班以及定期组织开展绩效知识问答等方式，在调动单位内部绩效工作积极性的同时，不断更新预算绩效管理方式和方法，持续提升单位整体预算管理水平。二是进一步发挥各处室及所属事业单位的作用，搞好部门间工作配合，继续开展不间断的督导指导服务，推进工作落实。三是强化项目监督管理，充分发挥项目主管部门的监督管理作用，把好项目执行、进度、质量关，加强督促检查，实施全程监管。四是明确实施和加强绩效管理工作的指导思想、总体目标、具体任务、实施步骤和评价措施，把绩效管理工作与每个部门工作挂钩，考核量化，确保绩效管理工作不流于形式，确保各项指标落到实处。</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567"/>
        <w:textAlignment w:val="auto"/>
        <w:outlineLvl w:val="9"/>
        <w:rPr>
          <w:rStyle w:val="21"/>
          <w:rFonts w:hint="eastAsia" w:ascii="黑体" w:hAnsi="黑体" w:eastAsia="黑体" w:cs="黑体"/>
          <w:b w:val="0"/>
          <w:bCs/>
          <w:spacing w:val="-4"/>
          <w:sz w:val="32"/>
          <w:szCs w:val="32"/>
        </w:rPr>
      </w:pPr>
      <w:r>
        <w:rPr>
          <w:rStyle w:val="21"/>
          <w:rFonts w:hint="eastAsia" w:ascii="黑体" w:hAnsi="黑体" w:eastAsia="黑体" w:cs="黑体"/>
          <w:b w:val="0"/>
          <w:bCs/>
          <w:spacing w:val="-4"/>
          <w:sz w:val="32"/>
          <w:szCs w:val="32"/>
          <w:lang w:eastAsia="zh-CN"/>
        </w:rPr>
        <w:t>七</w:t>
      </w:r>
      <w:r>
        <w:rPr>
          <w:rStyle w:val="21"/>
          <w:rFonts w:hint="eastAsia" w:ascii="黑体" w:hAnsi="黑体" w:eastAsia="黑体" w:cs="黑体"/>
          <w:b w:val="0"/>
          <w:bCs/>
          <w:spacing w:val="-4"/>
          <w:sz w:val="32"/>
          <w:szCs w:val="32"/>
        </w:rPr>
        <w:t>、其他需要说明的问题</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textAlignment w:val="auto"/>
        <w:outlineLvl w:val="9"/>
        <w:rPr>
          <w:rStyle w:val="21"/>
          <w:rFonts w:hint="eastAsia" w:ascii="仿宋_GB2312" w:hAnsi="仿宋_GB2312" w:eastAsia="仿宋_GB2312" w:cs="仿宋_GB2312"/>
          <w:b w:val="0"/>
          <w:bCs/>
          <w:spacing w:val="-4"/>
          <w:sz w:val="32"/>
          <w:szCs w:val="32"/>
          <w:lang w:eastAsia="zh-CN"/>
        </w:rPr>
      </w:pPr>
      <w:r>
        <w:rPr>
          <w:rStyle w:val="21"/>
          <w:rFonts w:hint="eastAsia" w:ascii="仿宋_GB2312" w:hAnsi="仿宋_GB2312" w:eastAsia="仿宋_GB2312" w:cs="仿宋_GB2312"/>
          <w:b w:val="0"/>
          <w:bCs/>
          <w:spacing w:val="-4"/>
          <w:sz w:val="32"/>
          <w:szCs w:val="32"/>
          <w:lang w:eastAsia="zh-CN"/>
        </w:rPr>
        <w:t>无</w:t>
      </w:r>
    </w:p>
    <w:p>
      <w:pPr>
        <w:keepNext w:val="0"/>
        <w:keepLines w:val="0"/>
        <w:pageBreakBefore w:val="0"/>
        <w:widowControl w:val="0"/>
        <w:kinsoku/>
        <w:wordWrap/>
        <w:overflowPunct/>
        <w:topLinePunct w:val="0"/>
        <w:autoSpaceDE/>
        <w:autoSpaceDN/>
        <w:bidi w:val="0"/>
        <w:adjustRightInd/>
        <w:snapToGrid/>
        <w:spacing w:line="600" w:lineRule="exact"/>
        <w:ind w:right="0" w:rightChars="0"/>
        <w:textAlignment w:val="auto"/>
        <w:outlineLvl w:val="9"/>
        <w:rPr>
          <w:rStyle w:val="21"/>
          <w:rFonts w:hint="eastAsia" w:ascii="仿宋_GB2312" w:hAnsi="仿宋_GB2312" w:eastAsia="仿宋_GB2312" w:cs="仿宋_GB2312"/>
          <w:b w:val="0"/>
          <w:bCs/>
          <w:spacing w:val="-4"/>
          <w:sz w:val="32"/>
          <w:szCs w:val="32"/>
        </w:rPr>
      </w:pPr>
    </w:p>
    <w:sectPr>
      <w:footerReference r:id="rId3" w:type="default"/>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Arial Unicode MS">
    <w:altName w:val="Times New Roman"/>
    <w:panose1 w:val="020B0604020202020204"/>
    <w:charset w:val="86"/>
    <w:family w:val="auto"/>
    <w:pitch w:val="default"/>
    <w:sig w:usb0="00000000" w:usb1="00000000" w:usb2="0000003F" w:usb3="00000000" w:csb0="603F01FF" w:csb1="FFFF0000"/>
  </w:font>
  <w:font w:name="华文中宋">
    <w:altName w:val="汉仪中宋简"/>
    <w:panose1 w:val="02010600040101010101"/>
    <w:charset w:val="86"/>
    <w:family w:val="auto"/>
    <w:pitch w:val="default"/>
    <w:sig w:usb0="00000000" w:usb1="00000000" w:usb2="00000000" w:usb3="00000000" w:csb0="0004009F" w:csb1="DFD7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altName w:val="黑体"/>
    <w:panose1 w:val="020B0503020204020204"/>
    <w:charset w:val="86"/>
    <w:family w:val="swiss"/>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宋体S-超大字符集">
    <w:panose1 w:val="02000000000000000000"/>
    <w:charset w:val="86"/>
    <w:family w:val="auto"/>
    <w:pitch w:val="default"/>
    <w:sig w:usb0="00000001" w:usb1="08000000" w:usb2="00000000" w:usb3="00000000" w:csb0="00040000" w:csb1="0000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pPr>
          <w:pStyle w:val="13"/>
          <w:jc w:val="center"/>
        </w:pPr>
        <w:r>
          <w:fldChar w:fldCharType="begin"/>
        </w:r>
        <w:r>
          <w:instrText xml:space="preserve">PAGE   \* MERGEFORMAT</w:instrText>
        </w:r>
        <w:r>
          <w:fldChar w:fldCharType="separate"/>
        </w:r>
        <w:r>
          <w:rPr>
            <w:lang w:val="zh-CN"/>
          </w:rPr>
          <w:t>1</w:t>
        </w:r>
        <w:r>
          <w:fldChar w:fldCharType="end"/>
        </w:r>
      </w:p>
    </w:sdtContent>
  </w:sdt>
  <w:p>
    <w:pPr>
      <w:pStyle w:val="1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9AC78E"/>
    <w:multiLevelType w:val="singleLevel"/>
    <w:tmpl w:val="689AC78E"/>
    <w:lvl w:ilvl="0" w:tentative="0">
      <w:start w:val="1"/>
      <w:numFmt w:val="decimal"/>
      <w:suff w:val="nothing"/>
      <w:lvlText w:val="%1."/>
      <w:lvlJc w:val="left"/>
    </w:lvl>
  </w:abstractNum>
  <w:abstractNum w:abstractNumId="1">
    <w:nsid w:val="689AC9FB"/>
    <w:multiLevelType w:val="singleLevel"/>
    <w:tmpl w:val="689AC9FB"/>
    <w:lvl w:ilvl="0" w:tentative="0">
      <w:start w:val="3"/>
      <w:numFmt w:val="decimal"/>
      <w:suff w:val="nothing"/>
      <w:lvlText w:val="%1．"/>
      <w:lvlJc w:val="left"/>
    </w:lvl>
  </w:abstractNum>
  <w:abstractNum w:abstractNumId="2">
    <w:nsid w:val="689ACA32"/>
    <w:multiLevelType w:val="singleLevel"/>
    <w:tmpl w:val="689ACA32"/>
    <w:lvl w:ilvl="0" w:tentative="0">
      <w:start w:val="1"/>
      <w:numFmt w:val="decimal"/>
      <w:suff w:val="nothing"/>
      <w:lvlText w:val="（%1）"/>
      <w:lvlJc w:val="left"/>
    </w:lvl>
  </w:abstractNum>
  <w:abstractNum w:abstractNumId="3">
    <w:nsid w:val="689ACA99"/>
    <w:multiLevelType w:val="singleLevel"/>
    <w:tmpl w:val="689ACA99"/>
    <w:lvl w:ilvl="0" w:tentative="0">
      <w:start w:val="14"/>
      <w:numFmt w:val="decimal"/>
      <w:suff w:val="nothing"/>
      <w:lvlText w:val="（%1）"/>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457"/>
    <w:rsid w:val="000110C4"/>
    <w:rsid w:val="00037D50"/>
    <w:rsid w:val="0005416C"/>
    <w:rsid w:val="00056465"/>
    <w:rsid w:val="001028C5"/>
    <w:rsid w:val="00102DFF"/>
    <w:rsid w:val="00121AE4"/>
    <w:rsid w:val="0014601B"/>
    <w:rsid w:val="00146AAD"/>
    <w:rsid w:val="00150F05"/>
    <w:rsid w:val="001B3A40"/>
    <w:rsid w:val="00273CCD"/>
    <w:rsid w:val="00291BC0"/>
    <w:rsid w:val="00311DBE"/>
    <w:rsid w:val="00345DD7"/>
    <w:rsid w:val="00351EFF"/>
    <w:rsid w:val="003B0577"/>
    <w:rsid w:val="003E7E58"/>
    <w:rsid w:val="003F5180"/>
    <w:rsid w:val="00414C3A"/>
    <w:rsid w:val="004366A8"/>
    <w:rsid w:val="004A05EE"/>
    <w:rsid w:val="004C38BC"/>
    <w:rsid w:val="004F1F3C"/>
    <w:rsid w:val="00502BA7"/>
    <w:rsid w:val="005162F1"/>
    <w:rsid w:val="00535153"/>
    <w:rsid w:val="00554F82"/>
    <w:rsid w:val="0056390D"/>
    <w:rsid w:val="005719B0"/>
    <w:rsid w:val="005A4F2E"/>
    <w:rsid w:val="005A5018"/>
    <w:rsid w:val="005C51DF"/>
    <w:rsid w:val="005D10D6"/>
    <w:rsid w:val="005E7C5E"/>
    <w:rsid w:val="0075584F"/>
    <w:rsid w:val="00855E3A"/>
    <w:rsid w:val="0091457F"/>
    <w:rsid w:val="00922CB9"/>
    <w:rsid w:val="00925D36"/>
    <w:rsid w:val="00944DD1"/>
    <w:rsid w:val="009E5CD9"/>
    <w:rsid w:val="009F4373"/>
    <w:rsid w:val="00A26421"/>
    <w:rsid w:val="00A34588"/>
    <w:rsid w:val="00A413B8"/>
    <w:rsid w:val="00A4293B"/>
    <w:rsid w:val="00A67D50"/>
    <w:rsid w:val="00A8691A"/>
    <w:rsid w:val="00A972DF"/>
    <w:rsid w:val="00AC1946"/>
    <w:rsid w:val="00AC3A96"/>
    <w:rsid w:val="00AD5E52"/>
    <w:rsid w:val="00AF683C"/>
    <w:rsid w:val="00B2343E"/>
    <w:rsid w:val="00B40063"/>
    <w:rsid w:val="00B41F61"/>
    <w:rsid w:val="00B74D04"/>
    <w:rsid w:val="00BA46E6"/>
    <w:rsid w:val="00BB5015"/>
    <w:rsid w:val="00C56C72"/>
    <w:rsid w:val="00C62CB9"/>
    <w:rsid w:val="00CA6457"/>
    <w:rsid w:val="00CA6DC2"/>
    <w:rsid w:val="00CD37A4"/>
    <w:rsid w:val="00CE2FD9"/>
    <w:rsid w:val="00D17F2E"/>
    <w:rsid w:val="00D30354"/>
    <w:rsid w:val="00D52B7C"/>
    <w:rsid w:val="00D80C1E"/>
    <w:rsid w:val="00DB1661"/>
    <w:rsid w:val="00DF42A0"/>
    <w:rsid w:val="00E30E91"/>
    <w:rsid w:val="00E769FE"/>
    <w:rsid w:val="00E774CE"/>
    <w:rsid w:val="00E96D03"/>
    <w:rsid w:val="00EA2CBE"/>
    <w:rsid w:val="00EB10A0"/>
    <w:rsid w:val="00F32FEE"/>
    <w:rsid w:val="00FB10BB"/>
    <w:rsid w:val="03055666"/>
    <w:rsid w:val="03283E1B"/>
    <w:rsid w:val="079806A0"/>
    <w:rsid w:val="094F5C7C"/>
    <w:rsid w:val="0CB44F22"/>
    <w:rsid w:val="0E274F2B"/>
    <w:rsid w:val="2AD86B89"/>
    <w:rsid w:val="4C3D1751"/>
    <w:rsid w:val="4D2606A1"/>
    <w:rsid w:val="4F714D08"/>
    <w:rsid w:val="5AAA2BCA"/>
    <w:rsid w:val="61A46752"/>
    <w:rsid w:val="66C126BF"/>
    <w:rsid w:val="678F0674"/>
    <w:rsid w:val="6D85401B"/>
    <w:rsid w:val="6E696600"/>
    <w:rsid w:val="7EF79114"/>
    <w:rsid w:val="BAEF04BA"/>
    <w:rsid w:val="FFFDE2B1"/>
    <w:rsid w:val="FFFFD0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3"/>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4">
    <w:name w:val="heading 2"/>
    <w:basedOn w:val="1"/>
    <w:next w:val="1"/>
    <w:link w:val="24"/>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5">
    <w:name w:val="heading 3"/>
    <w:basedOn w:val="1"/>
    <w:next w:val="1"/>
    <w:link w:val="25"/>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6">
    <w:name w:val="heading 4"/>
    <w:basedOn w:val="1"/>
    <w:next w:val="1"/>
    <w:link w:val="26"/>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7">
    <w:name w:val="heading 5"/>
    <w:basedOn w:val="1"/>
    <w:next w:val="1"/>
    <w:link w:val="27"/>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8">
    <w:name w:val="heading 6"/>
    <w:basedOn w:val="1"/>
    <w:next w:val="1"/>
    <w:link w:val="28"/>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9">
    <w:name w:val="heading 7"/>
    <w:basedOn w:val="1"/>
    <w:next w:val="1"/>
    <w:link w:val="29"/>
    <w:unhideWhenUsed/>
    <w:qFormat/>
    <w:uiPriority w:val="9"/>
    <w:pPr>
      <w:widowControl/>
      <w:spacing w:before="240" w:after="60"/>
      <w:jc w:val="left"/>
      <w:outlineLvl w:val="6"/>
    </w:pPr>
    <w:rPr>
      <w:rFonts w:asciiTheme="minorHAnsi" w:hAnsiTheme="minorHAnsi" w:eastAsiaTheme="minorEastAsia"/>
      <w:kern w:val="0"/>
      <w:sz w:val="24"/>
    </w:rPr>
  </w:style>
  <w:style w:type="paragraph" w:styleId="10">
    <w:name w:val="heading 8"/>
    <w:basedOn w:val="1"/>
    <w:next w:val="1"/>
    <w:link w:val="30"/>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1">
    <w:name w:val="heading 9"/>
    <w:basedOn w:val="1"/>
    <w:next w:val="1"/>
    <w:link w:val="31"/>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20">
    <w:name w:val="Default Paragraph Font"/>
    <w:unhideWhenUsed/>
    <w:qFormat/>
    <w:uiPriority w:val="1"/>
  </w:style>
  <w:style w:type="table" w:default="1" w:styleId="19">
    <w:name w:val="Normal Table"/>
    <w:unhideWhenUsed/>
    <w:qFormat/>
    <w:uiPriority w:val="99"/>
    <w:tblPr>
      <w:tblCellMar>
        <w:top w:w="0" w:type="dxa"/>
        <w:left w:w="108" w:type="dxa"/>
        <w:bottom w:w="0" w:type="dxa"/>
        <w:right w:w="108" w:type="dxa"/>
      </w:tblCellMar>
    </w:tblPr>
  </w:style>
  <w:style w:type="paragraph" w:styleId="2">
    <w:name w:val="Body Text"/>
    <w:basedOn w:val="1"/>
    <w:next w:val="1"/>
    <w:unhideWhenUsed/>
    <w:qFormat/>
    <w:uiPriority w:val="99"/>
    <w:pPr>
      <w:tabs>
        <w:tab w:val="left" w:pos="1296"/>
      </w:tabs>
    </w:pPr>
    <w:rPr>
      <w:rFonts w:ascii="仿宋_GB2312" w:eastAsia="仿宋_GB2312"/>
      <w:kern w:val="0"/>
      <w:sz w:val="32"/>
      <w:szCs w:val="20"/>
    </w:rPr>
  </w:style>
  <w:style w:type="paragraph" w:styleId="12">
    <w:name w:val="Balloon Text"/>
    <w:basedOn w:val="1"/>
    <w:link w:val="48"/>
    <w:unhideWhenUsed/>
    <w:qFormat/>
    <w:uiPriority w:val="99"/>
    <w:rPr>
      <w:sz w:val="18"/>
      <w:szCs w:val="18"/>
    </w:rPr>
  </w:style>
  <w:style w:type="paragraph" w:styleId="13">
    <w:name w:val="footer"/>
    <w:basedOn w:val="1"/>
    <w:link w:val="47"/>
    <w:unhideWhenUsed/>
    <w:qFormat/>
    <w:uiPriority w:val="99"/>
    <w:pPr>
      <w:tabs>
        <w:tab w:val="center" w:pos="4153"/>
        <w:tab w:val="right" w:pos="8306"/>
      </w:tabs>
      <w:snapToGrid w:val="0"/>
      <w:jc w:val="left"/>
    </w:pPr>
    <w:rPr>
      <w:rFonts w:ascii="Calibri" w:hAnsi="Calibri"/>
      <w:sz w:val="18"/>
      <w:szCs w:val="18"/>
    </w:rPr>
  </w:style>
  <w:style w:type="paragraph" w:styleId="14">
    <w:name w:val="header"/>
    <w:basedOn w:val="1"/>
    <w:link w:val="46"/>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5">
    <w:name w:val="Subtitle"/>
    <w:basedOn w:val="1"/>
    <w:next w:val="1"/>
    <w:link w:val="33"/>
    <w:qFormat/>
    <w:uiPriority w:val="11"/>
    <w:pPr>
      <w:widowControl/>
      <w:spacing w:after="60"/>
      <w:jc w:val="center"/>
      <w:outlineLvl w:val="1"/>
    </w:pPr>
    <w:rPr>
      <w:rFonts w:asciiTheme="majorHAnsi" w:hAnsiTheme="majorHAnsi" w:eastAsiaTheme="majorEastAsia"/>
      <w:kern w:val="0"/>
      <w:sz w:val="24"/>
    </w:rPr>
  </w:style>
  <w:style w:type="paragraph" w:styleId="16">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7">
    <w:name w:val="Normal (Web)"/>
    <w:basedOn w:val="1"/>
    <w:unhideWhenUsed/>
    <w:qFormat/>
    <w:uiPriority w:val="99"/>
    <w:pPr>
      <w:widowControl/>
      <w:spacing w:before="100" w:beforeAutospacing="1" w:after="100" w:afterAutospacing="1"/>
      <w:jc w:val="left"/>
    </w:pPr>
    <w:rPr>
      <w:rFonts w:ascii="宋体" w:hAnsi="宋体" w:eastAsia="仿宋_GB2312" w:cs="宋体"/>
      <w:kern w:val="0"/>
      <w:sz w:val="24"/>
      <w:szCs w:val="24"/>
    </w:rPr>
  </w:style>
  <w:style w:type="paragraph" w:styleId="18">
    <w:name w:val="Title"/>
    <w:basedOn w:val="1"/>
    <w:next w:val="1"/>
    <w:link w:val="32"/>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21">
    <w:name w:val="Strong"/>
    <w:basedOn w:val="20"/>
    <w:qFormat/>
    <w:uiPriority w:val="0"/>
    <w:rPr>
      <w:b/>
      <w:bCs/>
    </w:rPr>
  </w:style>
  <w:style w:type="character" w:styleId="22">
    <w:name w:val="Emphasis"/>
    <w:basedOn w:val="20"/>
    <w:qFormat/>
    <w:uiPriority w:val="20"/>
    <w:rPr>
      <w:rFonts w:asciiTheme="minorHAnsi" w:hAnsiTheme="minorHAnsi"/>
      <w:b/>
      <w:i/>
      <w:iCs/>
    </w:rPr>
  </w:style>
  <w:style w:type="character" w:customStyle="1" w:styleId="23">
    <w:name w:val="标题 1 字符"/>
    <w:basedOn w:val="20"/>
    <w:link w:val="3"/>
    <w:qFormat/>
    <w:uiPriority w:val="9"/>
    <w:rPr>
      <w:rFonts w:asciiTheme="majorHAnsi" w:hAnsiTheme="majorHAnsi" w:eastAsiaTheme="majorEastAsia"/>
      <w:b/>
      <w:bCs/>
      <w:kern w:val="32"/>
      <w:sz w:val="32"/>
      <w:szCs w:val="32"/>
    </w:rPr>
  </w:style>
  <w:style w:type="character" w:customStyle="1" w:styleId="24">
    <w:name w:val="标题 2 字符"/>
    <w:basedOn w:val="20"/>
    <w:link w:val="4"/>
    <w:semiHidden/>
    <w:qFormat/>
    <w:uiPriority w:val="9"/>
    <w:rPr>
      <w:rFonts w:asciiTheme="majorHAnsi" w:hAnsiTheme="majorHAnsi" w:eastAsiaTheme="majorEastAsia"/>
      <w:b/>
      <w:bCs/>
      <w:i/>
      <w:iCs/>
      <w:sz w:val="28"/>
      <w:szCs w:val="28"/>
    </w:rPr>
  </w:style>
  <w:style w:type="character" w:customStyle="1" w:styleId="25">
    <w:name w:val="标题 3 字符"/>
    <w:basedOn w:val="20"/>
    <w:link w:val="5"/>
    <w:semiHidden/>
    <w:qFormat/>
    <w:uiPriority w:val="9"/>
    <w:rPr>
      <w:rFonts w:asciiTheme="majorHAnsi" w:hAnsiTheme="majorHAnsi" w:eastAsiaTheme="majorEastAsia"/>
      <w:b/>
      <w:bCs/>
      <w:sz w:val="26"/>
      <w:szCs w:val="26"/>
    </w:rPr>
  </w:style>
  <w:style w:type="character" w:customStyle="1" w:styleId="26">
    <w:name w:val="标题 4 字符"/>
    <w:basedOn w:val="20"/>
    <w:link w:val="6"/>
    <w:qFormat/>
    <w:uiPriority w:val="9"/>
    <w:rPr>
      <w:b/>
      <w:bCs/>
      <w:sz w:val="28"/>
      <w:szCs w:val="28"/>
    </w:rPr>
  </w:style>
  <w:style w:type="character" w:customStyle="1" w:styleId="27">
    <w:name w:val="标题 5 字符"/>
    <w:basedOn w:val="20"/>
    <w:link w:val="7"/>
    <w:semiHidden/>
    <w:qFormat/>
    <w:uiPriority w:val="9"/>
    <w:rPr>
      <w:b/>
      <w:bCs/>
      <w:i/>
      <w:iCs/>
      <w:sz w:val="26"/>
      <w:szCs w:val="26"/>
    </w:rPr>
  </w:style>
  <w:style w:type="character" w:customStyle="1" w:styleId="28">
    <w:name w:val="标题 6 字符"/>
    <w:basedOn w:val="20"/>
    <w:link w:val="8"/>
    <w:semiHidden/>
    <w:qFormat/>
    <w:uiPriority w:val="9"/>
    <w:rPr>
      <w:b/>
      <w:bCs/>
    </w:rPr>
  </w:style>
  <w:style w:type="character" w:customStyle="1" w:styleId="29">
    <w:name w:val="标题 7 字符"/>
    <w:basedOn w:val="20"/>
    <w:link w:val="9"/>
    <w:semiHidden/>
    <w:qFormat/>
    <w:uiPriority w:val="9"/>
    <w:rPr>
      <w:sz w:val="24"/>
      <w:szCs w:val="24"/>
    </w:rPr>
  </w:style>
  <w:style w:type="character" w:customStyle="1" w:styleId="30">
    <w:name w:val="标题 8 字符"/>
    <w:basedOn w:val="20"/>
    <w:link w:val="10"/>
    <w:semiHidden/>
    <w:qFormat/>
    <w:uiPriority w:val="9"/>
    <w:rPr>
      <w:i/>
      <w:iCs/>
      <w:sz w:val="24"/>
      <w:szCs w:val="24"/>
    </w:rPr>
  </w:style>
  <w:style w:type="character" w:customStyle="1" w:styleId="31">
    <w:name w:val="标题 9 字符"/>
    <w:basedOn w:val="20"/>
    <w:link w:val="11"/>
    <w:semiHidden/>
    <w:qFormat/>
    <w:uiPriority w:val="9"/>
    <w:rPr>
      <w:rFonts w:asciiTheme="majorHAnsi" w:hAnsiTheme="majorHAnsi" w:eastAsiaTheme="majorEastAsia"/>
    </w:rPr>
  </w:style>
  <w:style w:type="character" w:customStyle="1" w:styleId="32">
    <w:name w:val="标题 字符"/>
    <w:basedOn w:val="20"/>
    <w:link w:val="18"/>
    <w:qFormat/>
    <w:uiPriority w:val="10"/>
    <w:rPr>
      <w:rFonts w:asciiTheme="majorHAnsi" w:hAnsiTheme="majorHAnsi" w:eastAsiaTheme="majorEastAsia"/>
      <w:b/>
      <w:bCs/>
      <w:kern w:val="28"/>
      <w:sz w:val="32"/>
      <w:szCs w:val="32"/>
    </w:rPr>
  </w:style>
  <w:style w:type="character" w:customStyle="1" w:styleId="33">
    <w:name w:val="副标题 字符"/>
    <w:basedOn w:val="20"/>
    <w:link w:val="15"/>
    <w:qFormat/>
    <w:uiPriority w:val="11"/>
    <w:rPr>
      <w:rFonts w:asciiTheme="majorHAnsi" w:hAnsiTheme="majorHAnsi" w:eastAsiaTheme="majorEastAsia"/>
      <w:sz w:val="24"/>
      <w:szCs w:val="24"/>
    </w:rPr>
  </w:style>
  <w:style w:type="paragraph" w:customStyle="1" w:styleId="34">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customStyle="1" w:styleId="35">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customStyle="1" w:styleId="36">
    <w:name w:val="Quote"/>
    <w:basedOn w:val="1"/>
    <w:next w:val="1"/>
    <w:link w:val="37"/>
    <w:qFormat/>
    <w:uiPriority w:val="29"/>
    <w:pPr>
      <w:widowControl/>
      <w:jc w:val="left"/>
    </w:pPr>
    <w:rPr>
      <w:rFonts w:asciiTheme="minorHAnsi" w:hAnsiTheme="minorHAnsi" w:eastAsiaTheme="minorEastAsia"/>
      <w:i/>
      <w:kern w:val="0"/>
      <w:sz w:val="24"/>
    </w:rPr>
  </w:style>
  <w:style w:type="character" w:customStyle="1" w:styleId="37">
    <w:name w:val="引用 字符"/>
    <w:basedOn w:val="20"/>
    <w:link w:val="36"/>
    <w:qFormat/>
    <w:uiPriority w:val="29"/>
    <w:rPr>
      <w:i/>
      <w:sz w:val="24"/>
      <w:szCs w:val="24"/>
    </w:rPr>
  </w:style>
  <w:style w:type="paragraph" w:customStyle="1" w:styleId="38">
    <w:name w:val="Intense Quote"/>
    <w:basedOn w:val="1"/>
    <w:next w:val="1"/>
    <w:link w:val="39"/>
    <w:qFormat/>
    <w:uiPriority w:val="30"/>
    <w:pPr>
      <w:widowControl/>
      <w:ind w:left="720" w:right="720"/>
      <w:jc w:val="left"/>
    </w:pPr>
    <w:rPr>
      <w:rFonts w:asciiTheme="minorHAnsi" w:hAnsiTheme="minorHAnsi" w:eastAsiaTheme="minorEastAsia"/>
      <w:b/>
      <w:i/>
      <w:kern w:val="0"/>
      <w:sz w:val="24"/>
      <w:szCs w:val="22"/>
    </w:rPr>
  </w:style>
  <w:style w:type="character" w:customStyle="1" w:styleId="39">
    <w:name w:val="明显引用 字符"/>
    <w:basedOn w:val="20"/>
    <w:link w:val="38"/>
    <w:qFormat/>
    <w:uiPriority w:val="30"/>
    <w:rPr>
      <w:b/>
      <w:i/>
      <w:sz w:val="24"/>
    </w:rPr>
  </w:style>
  <w:style w:type="character" w:customStyle="1" w:styleId="40">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41">
    <w:name w:val="明显强调1"/>
    <w:basedOn w:val="20"/>
    <w:qFormat/>
    <w:uiPriority w:val="21"/>
    <w:rPr>
      <w:b/>
      <w:i/>
      <w:sz w:val="24"/>
      <w:szCs w:val="24"/>
      <w:u w:val="single"/>
    </w:rPr>
  </w:style>
  <w:style w:type="character" w:customStyle="1" w:styleId="42">
    <w:name w:val="不明显参考1"/>
    <w:basedOn w:val="20"/>
    <w:qFormat/>
    <w:uiPriority w:val="31"/>
    <w:rPr>
      <w:sz w:val="24"/>
      <w:szCs w:val="24"/>
      <w:u w:val="single"/>
    </w:rPr>
  </w:style>
  <w:style w:type="character" w:customStyle="1" w:styleId="43">
    <w:name w:val="明显参考1"/>
    <w:basedOn w:val="20"/>
    <w:qFormat/>
    <w:uiPriority w:val="32"/>
    <w:rPr>
      <w:b/>
      <w:sz w:val="24"/>
      <w:u w:val="single"/>
    </w:rPr>
  </w:style>
  <w:style w:type="character" w:customStyle="1" w:styleId="44">
    <w:name w:val="书籍标题1"/>
    <w:basedOn w:val="20"/>
    <w:qFormat/>
    <w:uiPriority w:val="33"/>
    <w:rPr>
      <w:rFonts w:asciiTheme="majorHAnsi" w:hAnsiTheme="majorHAnsi" w:eastAsiaTheme="majorEastAsia"/>
      <w:b/>
      <w:i/>
      <w:sz w:val="24"/>
      <w:szCs w:val="24"/>
    </w:rPr>
  </w:style>
  <w:style w:type="paragraph" w:customStyle="1" w:styleId="45">
    <w:name w:val="TOC 标题1"/>
    <w:basedOn w:val="3"/>
    <w:next w:val="1"/>
    <w:unhideWhenUsed/>
    <w:qFormat/>
    <w:uiPriority w:val="39"/>
    <w:pPr>
      <w:outlineLvl w:val="9"/>
    </w:pPr>
    <w:rPr>
      <w:lang w:eastAsia="en-US" w:bidi="en-US"/>
    </w:rPr>
  </w:style>
  <w:style w:type="character" w:customStyle="1" w:styleId="46">
    <w:name w:val="页眉 字符"/>
    <w:basedOn w:val="20"/>
    <w:link w:val="14"/>
    <w:qFormat/>
    <w:uiPriority w:val="99"/>
    <w:rPr>
      <w:rFonts w:ascii="Calibri" w:hAnsi="Calibri" w:eastAsia="宋体"/>
      <w:kern w:val="2"/>
      <w:sz w:val="18"/>
      <w:szCs w:val="18"/>
    </w:rPr>
  </w:style>
  <w:style w:type="character" w:customStyle="1" w:styleId="47">
    <w:name w:val="页脚 字符"/>
    <w:basedOn w:val="20"/>
    <w:link w:val="13"/>
    <w:qFormat/>
    <w:uiPriority w:val="99"/>
    <w:rPr>
      <w:rFonts w:ascii="Calibri" w:hAnsi="Calibri" w:eastAsia="宋体"/>
      <w:kern w:val="2"/>
      <w:sz w:val="18"/>
      <w:szCs w:val="18"/>
    </w:rPr>
  </w:style>
  <w:style w:type="character" w:customStyle="1" w:styleId="48">
    <w:name w:val="批注框文本 字符"/>
    <w:basedOn w:val="20"/>
    <w:link w:val="12"/>
    <w:semiHidden/>
    <w:qFormat/>
    <w:uiPriority w:val="99"/>
    <w:rPr>
      <w:rFonts w:ascii="Times New Roman" w:hAnsi="Times New Roman" w:eastAsia="宋体"/>
      <w:kern w:val="2"/>
      <w:sz w:val="18"/>
      <w:szCs w:val="18"/>
    </w:rPr>
  </w:style>
  <w:style w:type="paragraph" w:customStyle="1" w:styleId="49">
    <w:name w:val="正文 A"/>
    <w:qFormat/>
    <w:uiPriority w:val="99"/>
    <w:pPr>
      <w:widowControl w:val="0"/>
      <w:spacing w:before="50" w:after="50" w:line="360" w:lineRule="auto"/>
    </w:pPr>
    <w:rPr>
      <w:rFonts w:ascii="Times New Roman" w:hAnsi="Arial Unicode MS" w:eastAsia="Times New Roman" w:cs="Arial Unicode MS"/>
      <w:color w:val="000000"/>
      <w:kern w:val="2"/>
      <w:sz w:val="28"/>
      <w:szCs w:val="28"/>
      <w:u w:color="000000"/>
      <w:lang w:val="en-US" w:eastAsia="zh-CN" w:bidi="ar-SA"/>
    </w:rPr>
  </w:style>
  <w:style w:type="character" w:customStyle="1" w:styleId="50">
    <w:name w:val="NormalCharacter"/>
    <w:link w:val="51"/>
    <w:qFormat/>
    <w:uiPriority w:val="0"/>
    <w:rPr>
      <w:rFonts w:ascii="Calibri" w:hAnsi="Calibri" w:eastAsia="宋体" w:cs="Times New Roman"/>
    </w:rPr>
  </w:style>
  <w:style w:type="paragraph" w:customStyle="1" w:styleId="51">
    <w:name w:val="UserStyle_0"/>
    <w:basedOn w:val="1"/>
    <w:next w:val="52"/>
    <w:link w:val="50"/>
    <w:qFormat/>
    <w:uiPriority w:val="0"/>
    <w:pPr>
      <w:pBdr>
        <w:top w:val="none" w:color="000000" w:sz="0" w:space="1"/>
        <w:left w:val="none" w:color="000000" w:sz="0" w:space="4"/>
        <w:bottom w:val="none" w:color="000000" w:sz="0" w:space="1"/>
        <w:right w:val="none" w:color="000000" w:sz="0" w:space="4"/>
      </w:pBdr>
      <w:tabs>
        <w:tab w:val="right" w:pos="4153"/>
        <w:tab w:val="left" w:leader="underscore" w:pos="8306"/>
      </w:tabs>
      <w:snapToGrid w:val="0"/>
      <w:spacing w:line="240" w:lineRule="auto"/>
      <w:jc w:val="both"/>
    </w:pPr>
    <w:rPr>
      <w:rFonts w:ascii="Calibri" w:hAnsi="Calibri" w:eastAsia="宋体" w:cs="Times New Roman"/>
    </w:rPr>
  </w:style>
  <w:style w:type="paragraph" w:customStyle="1" w:styleId="52">
    <w:name w:val="UserStyle_1"/>
    <w:next w:val="51"/>
    <w:qFormat/>
    <w:uiPriority w:val="0"/>
    <w:pPr>
      <w:keepNext/>
      <w:keepLines/>
      <w:widowControl/>
      <w:spacing w:before="260" w:after="260" w:line="416" w:lineRule="auto"/>
      <w:jc w:val="both"/>
      <w:textAlignment w:val="baseline"/>
    </w:pPr>
    <w:rPr>
      <w:rFonts w:ascii="Arial Unicode MS" w:hAnsi="Arial Unicode MS" w:eastAsia="宋体" w:cs="Times New Roman"/>
      <w:color w:val="000000"/>
      <w:kern w:val="2"/>
      <w:sz w:val="32"/>
      <w:szCs w:val="32"/>
      <w:lang w:val="zh-TW" w:eastAsia="zh-TW"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113</Words>
  <Characters>648</Characters>
  <Lines>5</Lines>
  <Paragraphs>1</Paragraphs>
  <TotalTime>12</TotalTime>
  <ScaleCrop>false</ScaleCrop>
  <LinksUpToDate>false</LinksUpToDate>
  <CharactersWithSpaces>760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2018-08-15T10:06:00Z</dcterms:created>
  <dc:creator>赵 恺（预算处）</dc:creator>
  <cp:lastModifiedBy> </cp:lastModifiedBy>
  <cp:lastPrinted>2018-12-31T18:56:00Z</cp:lastPrinted>
  <dcterms:modified xsi:type="dcterms:W3CDTF">2026-08-18T13:11:07Z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160D1BA1944349B08C48068401F6E698</vt:lpwstr>
  </property>
</Properties>
</file>