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80"/>
        <w:gridCol w:w="1080"/>
        <w:gridCol w:w="880"/>
        <w:gridCol w:w="982"/>
        <w:gridCol w:w="851"/>
        <w:gridCol w:w="992"/>
        <w:gridCol w:w="1232"/>
        <w:gridCol w:w="43"/>
        <w:gridCol w:w="236"/>
        <w:gridCol w:w="684"/>
        <w:gridCol w:w="73"/>
        <w:gridCol w:w="163"/>
        <w:gridCol w:w="666"/>
        <w:gridCol w:w="233"/>
        <w:gridCol w:w="333"/>
        <w:gridCol w:w="672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05" w:hRule="atLeast"/>
          <w:jc w:val="center"/>
        </w:trPr>
        <w:tc>
          <w:tcPr>
            <w:tcW w:w="1026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1026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(2021年度)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1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国有企业资产监督管理综合经费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30" w:hRule="atLeast"/>
          <w:jc w:val="center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新疆维吾尔自治区人民政府国有资产监督管理委员会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新疆维吾尔自治区人民政府国有资产监督管理委员会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464.92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454.12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97.68%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9.77分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上年结转资金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137.92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53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596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根据《自治区党委办公厅  自治区人民政府办公厅关于印发〈新疆维吾尔自治区国有资产监督管理委员会职能配置、内设机构和人员编制规定〉的通知》（新党厅字〔2018〕166号）、《企业国有资产监督管理暂行条例》规定，按照国资委职责要求，做好国资监管各项业务工作，确保国有资产保值增值。</w:t>
            </w:r>
          </w:p>
        </w:tc>
        <w:tc>
          <w:tcPr>
            <w:tcW w:w="43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4"/>
                <w:rFonts w:hint="eastAsia" w:ascii="宋体" w:hAnsi="宋体"/>
                <w:b w:val="0"/>
                <w:spacing w:val="-4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b w:val="0"/>
                <w:spacing w:val="-4"/>
                <w:sz w:val="20"/>
                <w:szCs w:val="20"/>
              </w:rPr>
              <w:t xml:space="preserve">一、全区国资国企改革发展的基础更加牢固。一是聚焦核心关键，各项任务指标好于预期。二是压紧压实责任，安全生产和疫情防控形势持续稳定。三是持续强化监管约束，坚持在服务中提升监管效能。四是国资委巡察办得到了自治区党委巡视工作领导小组的充分肯定。 </w:t>
            </w:r>
          </w:p>
          <w:p>
            <w:pPr>
              <w:rPr>
                <w:rStyle w:val="4"/>
                <w:rFonts w:hint="eastAsia" w:ascii="宋体" w:hAnsi="宋体"/>
                <w:b w:val="0"/>
                <w:spacing w:val="-4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b w:val="0"/>
                <w:spacing w:val="-4"/>
                <w:sz w:val="20"/>
                <w:szCs w:val="20"/>
              </w:rPr>
              <w:t>二、全区国资国企改革发展的进度质量明显提升。一是国企改革三年行动进度加快。新疆等15个地方被评定为A 级，在全国范围内进行了通报表扬。二是国有企业风险防控工作不断加强。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b w:val="0"/>
                <w:spacing w:val="-4"/>
                <w:sz w:val="20"/>
                <w:szCs w:val="20"/>
              </w:rPr>
              <w:t>三、全区国资国企改革发展的影响力、贡献度进一步增强。一是成功举办中央企业援疆工作会议，达成了10 个战略合作框架协议，9个项目合作协议。二是全区国资国企一盘棋正在逐步强化。我们始终树立“区地国资国企一盘棋”的思想，7月下旬，在阿勒泰地区召开了自治区国资国企助力阿勒泰高质量发展推进会，签署战略合作协议11项，涉及金额近200亿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12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12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年度绩效指标完成情况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监管企业各类业务培训数量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&gt;=2次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国资国企在线监管基础平台及子系统运维数量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&gt;=6项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2.49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本年度计划上线网络安全保障系统由于经费不足暂缓实施。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企业财务快报决算会审会议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&gt;=1次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开展国有企业政治巡察企业数量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&gt;=2家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开展国有资本布局与结构战略性调整“十四五”规划编撰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&gt;=1篇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监管企业各类业务培训人数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&gt;=60人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开展责任追究损失调查和认定检查频次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&gt;=4次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根据《自治区区属国有企业违规经营投资责任追究办法（试行）》等规定，本年根据移送违规问题线索进行了2次专项核查。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完成检查报告数量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&gt;=2份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产权评估项目评审项目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&gt;=5项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开展监管企业安全生产检查频次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&gt;=4次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开展资产负债约束专项等审计次数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&gt;=5次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法律咨询服务聘请中介机构数量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&gt;=2个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购置办公设备数量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&gt;=20台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根据年初预算情况本年共购置办公电脑、打印机等设备29台。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监管企业各类业务培训天数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&lt;=15天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监督检查覆盖率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&gt;=90%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信息系统故障率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&lt;=10%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购置设备质量合格率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&gt;=95%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经检验所购办公设备合格率100%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培训按期完成率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&gt;=95%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系统故障修复处理时间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&lt;=24小时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24小时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年度检查任务按时完成率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&gt;=95%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年度系统维护成本增长率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&lt;=10%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监督检查期间人均支出标准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&lt;=200元/人·天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200元/人.天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培训人均支出标准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&lt;=200元/人·天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200元/人.天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设备利用率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&gt;=95%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监督检查问题整改落实率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&gt;=95%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系统使用年限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&gt;=10年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8年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国资委信息系统在2014年初建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使用人员满意度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&gt;=95%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95.76分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TNjYjVjNzdiMzk0ZGVhNGRmZGVmYjg5ZTI4ZGYifQ=="/>
  </w:docVars>
  <w:rsids>
    <w:rsidRoot w:val="2D2E52D3"/>
    <w:rsid w:val="2D2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2022-08-24T11:33:00Z</dcterms:created>
  <dc:creator>GZW</dc:creator>
  <cp:lastModifiedBy>GZW</cp:lastModifiedBy>
  <dcterms:modified xsi:type="dcterms:W3CDTF">2022-08-24T11:34:09Z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32686A94C45B4B8FA7DDB75D2C07E89F</vt:lpwstr>
  </property>
</Properties>
</file>