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580"/>
        <w:gridCol w:w="1080"/>
        <w:gridCol w:w="880"/>
        <w:gridCol w:w="982"/>
        <w:gridCol w:w="851"/>
        <w:gridCol w:w="992"/>
        <w:gridCol w:w="1232"/>
        <w:gridCol w:w="43"/>
        <w:gridCol w:w="236"/>
        <w:gridCol w:w="684"/>
        <w:gridCol w:w="73"/>
        <w:gridCol w:w="163"/>
        <w:gridCol w:w="666"/>
        <w:gridCol w:w="233"/>
        <w:gridCol w:w="333"/>
        <w:gridCol w:w="672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05" w:hRule="atLeast"/>
          <w:jc w:val="center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0260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(2021年度)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91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国有企业资产监督管理综合经费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30" w:hRule="atLeast"/>
          <w:jc w:val="center"/>
        </w:trPr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新疆维吾尔自治区人民政府国有资产监督管理委员会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0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新疆维吾尔自治区人民政府国有资产监督管理委员会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464.92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454.12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97.68%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9.77分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其中：当年财政拨款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上年结转资金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137.92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11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其他资金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5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96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65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根据《自治区党委办公厅  自治区人民政府办公厅关于印发〈新疆维吾尔自治区国有资产监督管理委员会职能配置、内设机构和人员编制规定〉的通知》（新党厅字〔2018〕166号）、《企业国有资产监督管理暂行条例》规定，按照国资委职责要求，做好国资监管各项业务工作，确保国有资产保值增值。</w:t>
            </w:r>
          </w:p>
        </w:tc>
        <w:tc>
          <w:tcPr>
            <w:tcW w:w="43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 xml:space="preserve">一、全区国资国企改革发展的基础更加牢固。一是聚焦核心关键，各项任务指标好于预期。二是压紧压实责任，安全生产和疫情防控形势持续稳定。三是持续强化监管约束，坚持在服务中提升监管效能。四是国资委巡察办得到了自治区党委巡视工作领导小组的充分肯定。 </w:t>
            </w:r>
          </w:p>
          <w:p>
            <w:pP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>二、全区国资国企改革发展的进度质量明显提升。一是国企改革三年行动进度加快。新疆等15个地方被评定为A 级，在全国范围内进行了通报表扬。二是国有企业风险防控工作不断加强。</w:t>
            </w:r>
          </w:p>
          <w:p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b w:val="0"/>
                <w:spacing w:val="-4"/>
                <w:sz w:val="20"/>
                <w:szCs w:val="20"/>
              </w:rPr>
              <w:t>三、全区国资国企改革发展的影响力、贡献度进一步增强。一是成功举办中央企业援疆工作会议，达成了10 个战略合作框架协议，9个项目合作协议。二是全区国资国企一盘棋正在逐步强化。我们始终树立“区地国资国企一盘棋”的思想，7月下旬，在阿勒泰地区召开了自治区国资国企助力阿勒泰高质量发展推进会，签署战略合作协议11项，涉及金额近200亿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27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12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2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12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年度绩效指标完成情况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国资国企在线监管基础平台及子系统运维数量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&gt;=6项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2.49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本年度计划上线网络安全保障系统由于经费不足暂缓实施。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企业财务快报决算会审会议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开展国有企业政治巡察企业数量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开展国有资本布局与结构战略性调整“十四五”规划编撰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&gt;=60人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开展责任追究损失调查和认定检查频次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&gt;=4次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根据《自治区区属国有企业违规经营投资责任追究办法（试行）》等规定，本年根据移送违规问题线索进行了2次专项核查。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完成检查报告数量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产权评估项目评审项目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&gt;=5项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开展监管企业安全生产检查频次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&gt;=4次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开展资产负债约束专项等审计次数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&gt;=5次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法律咨询服务聘请中介机构数量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&gt;=2个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购置办公设备数量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&gt;=20台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根据年初预算情况本年共购置办公电脑、打印机等设备29台。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监管企业各类业务培训天数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&lt;=15天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监督检查覆盖率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信息系统故障率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购置设备质量合格率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经检验所购办公设备合格率100%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培训按期完成率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系统故障修复处理时间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&lt;=24小时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24小时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年度检查任务按时完成率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年度系统维护成本增长率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&lt;=10%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监督检查期间人均支出标准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&lt;=200元/人·天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200元/人.天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培训人均支出标准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&lt;=200元/人·天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200元/人.天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经济效益指标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设备利用率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监督检查问题整改落实率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系统使用年限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&gt;=10年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8年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国资委信息系统在2014年初建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使用人员满意度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&gt;=95%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95.76分</w:t>
            </w:r>
          </w:p>
        </w:tc>
        <w:tc>
          <w:tcPr>
            <w:tcW w:w="12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NTNjYjVjNzdiMzk0ZGVhNGRmZGVmYjg5ZTI4ZGYifQ=="/>
  </w:docVars>
  <w:rsids>
    <w:rsidRoot w:val="2D2E52D3"/>
    <w:rsid w:val="0004581C"/>
    <w:rsid w:val="2D2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1449</Words>
  <Characters>1626</Characters>
  <Lines>0</Lines>
  <Paragraphs>0</Paragraphs>
  <TotalTime>0</TotalTime>
  <ScaleCrop>false</ScaleCrop>
  <LinksUpToDate>false</LinksUpToDate>
  <CharactersWithSpaces>1693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2022-08-24T11:33:00Z</dcterms:created>
  <dc:creator>GZW</dc:creator>
  <cp:lastModifiedBy>GZW</cp:lastModifiedBy>
  <dcterms:modified xsi:type="dcterms:W3CDTF">2022-08-24T12:37:23Z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09771A2DD4374A6889ECFB4011B12B75</vt:lpwstr>
  </property>
</Properties>
</file>